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741C51" w:rsidRDefault="007A3A2F" w:rsidP="007A3A2F">
      <w:pPr>
        <w:pStyle w:val="titel"/>
        <w:rPr>
          <w:sz w:val="22"/>
          <w:szCs w:val="22"/>
          <w:lang w:val="en-US"/>
        </w:rPr>
      </w:pPr>
      <w:r w:rsidRPr="00741C51">
        <w:rPr>
          <w:sz w:val="22"/>
          <w:szCs w:val="22"/>
          <w:lang w:val="en-US"/>
        </w:rPr>
        <w:t>GOETHEANUM</w:t>
      </w:r>
      <w:r w:rsidRPr="00741C51">
        <w:rPr>
          <w:sz w:val="22"/>
          <w:szCs w:val="22"/>
          <w:lang w:val="en-US"/>
        </w:rPr>
        <w:tab/>
      </w:r>
      <w:r w:rsidR="00B90BB3" w:rsidRPr="00741C51">
        <w:rPr>
          <w:sz w:val="22"/>
          <w:szCs w:val="22"/>
          <w:lang w:val="en-US"/>
        </w:rPr>
        <w:t xml:space="preserve"> </w:t>
      </w:r>
      <w:r w:rsidR="00CF0D6D" w:rsidRPr="00741C51">
        <w:rPr>
          <w:sz w:val="22"/>
          <w:szCs w:val="22"/>
          <w:lang w:val="en-US"/>
        </w:rPr>
        <w:t>C</w:t>
      </w:r>
      <w:r w:rsidR="00B90BB3" w:rsidRPr="00741C51">
        <w:rPr>
          <w:sz w:val="22"/>
          <w:szCs w:val="22"/>
          <w:lang w:val="en-US"/>
        </w:rPr>
        <w:t>OMMUNI</w:t>
      </w:r>
      <w:r w:rsidR="00DD74B3" w:rsidRPr="00741C51">
        <w:rPr>
          <w:sz w:val="22"/>
          <w:szCs w:val="22"/>
          <w:lang w:val="en-US"/>
        </w:rPr>
        <w:t>C</w:t>
      </w:r>
      <w:r w:rsidR="00B90BB3" w:rsidRPr="00741C51">
        <w:rPr>
          <w:sz w:val="22"/>
          <w:szCs w:val="22"/>
          <w:lang w:val="en-US"/>
        </w:rPr>
        <w:t>ATION</w:t>
      </w:r>
    </w:p>
    <w:p w14:paraId="3B005831" w14:textId="77777777" w:rsidR="007A3A2F" w:rsidRPr="00741C51" w:rsidRDefault="007A3A2F" w:rsidP="007A3A2F">
      <w:pPr>
        <w:pStyle w:val="titel"/>
        <w:jc w:val="right"/>
        <w:rPr>
          <w:sz w:val="22"/>
          <w:szCs w:val="22"/>
          <w:lang w:val="en-US"/>
        </w:rPr>
      </w:pPr>
    </w:p>
    <w:p w14:paraId="6BB93954" w14:textId="77777777" w:rsidR="00741C51" w:rsidRPr="00741C51" w:rsidRDefault="00741C51" w:rsidP="00741C51">
      <w:pPr>
        <w:pStyle w:val="titel"/>
        <w:jc w:val="right"/>
        <w:rPr>
          <w:sz w:val="22"/>
          <w:szCs w:val="22"/>
          <w:lang w:val="en-US"/>
        </w:rPr>
      </w:pPr>
      <w:r w:rsidRPr="00741C51">
        <w:rPr>
          <w:sz w:val="22"/>
          <w:szCs w:val="22"/>
          <w:lang w:val="en-US"/>
        </w:rPr>
        <w:tab/>
        <w:t>Goetheanum, Dornach, Suisse, le 18 juin 2023</w:t>
      </w:r>
    </w:p>
    <w:p w14:paraId="3BD941D4" w14:textId="77777777" w:rsidR="00741C51" w:rsidRPr="00741C51" w:rsidRDefault="00741C51" w:rsidP="00741C51">
      <w:pPr>
        <w:pStyle w:val="body"/>
        <w:rPr>
          <w:lang w:val="en-US"/>
        </w:rPr>
      </w:pPr>
    </w:p>
    <w:p w14:paraId="18BF34AA" w14:textId="77777777" w:rsidR="00741C51" w:rsidRPr="00741C51" w:rsidRDefault="00741C51" w:rsidP="00741C51">
      <w:pPr>
        <w:pStyle w:val="titel"/>
        <w:spacing w:before="57"/>
        <w:rPr>
          <w:b/>
          <w:bCs/>
          <w:sz w:val="28"/>
          <w:szCs w:val="28"/>
          <w:lang w:val="en-US"/>
        </w:rPr>
      </w:pPr>
      <w:r w:rsidRPr="00741C51">
        <w:rPr>
          <w:b/>
          <w:bCs/>
          <w:sz w:val="28"/>
          <w:szCs w:val="28"/>
          <w:lang w:val="en-US"/>
        </w:rPr>
        <w:t>Aides en cas d‘affection post-Covid-19 et de syndrome post-vaccinal</w:t>
      </w:r>
    </w:p>
    <w:p w14:paraId="7A541EA4" w14:textId="77777777" w:rsidR="00741C51" w:rsidRPr="00741C51" w:rsidRDefault="00741C51" w:rsidP="00741C51">
      <w:pPr>
        <w:pStyle w:val="titel"/>
        <w:spacing w:before="57"/>
        <w:rPr>
          <w:b/>
          <w:bCs/>
          <w:sz w:val="24"/>
          <w:szCs w:val="24"/>
          <w:lang w:val="en-US"/>
        </w:rPr>
      </w:pPr>
      <w:r w:rsidRPr="00741C51">
        <w:rPr>
          <w:b/>
          <w:bCs/>
          <w:sz w:val="24"/>
          <w:szCs w:val="24"/>
          <w:lang w:val="en-US"/>
        </w:rPr>
        <w:t xml:space="preserve">Expériences de traitement par la médecine anthroposophique </w:t>
      </w:r>
    </w:p>
    <w:p w14:paraId="08288553" w14:textId="77777777" w:rsidR="00741C51" w:rsidRPr="00741C51" w:rsidRDefault="00741C51" w:rsidP="00741C51">
      <w:pPr>
        <w:pStyle w:val="body"/>
        <w:rPr>
          <w:b/>
          <w:bCs/>
          <w:lang w:val="en-US"/>
        </w:rPr>
      </w:pPr>
    </w:p>
    <w:p w14:paraId="158F6B7D" w14:textId="77777777" w:rsidR="00741C51" w:rsidRPr="00741C51" w:rsidRDefault="00741C51" w:rsidP="00741C51">
      <w:pPr>
        <w:pStyle w:val="body"/>
        <w:rPr>
          <w:rFonts w:ascii="Titillium" w:hAnsi="Titillium" w:cs="Titillium"/>
          <w:b/>
          <w:bCs/>
          <w:sz w:val="20"/>
          <w:szCs w:val="20"/>
          <w:lang w:val="en-US"/>
        </w:rPr>
      </w:pPr>
      <w:r w:rsidRPr="00741C51">
        <w:rPr>
          <w:rFonts w:ascii="Titillium" w:hAnsi="Titillium" w:cs="Titillium"/>
          <w:b/>
          <w:bCs/>
          <w:sz w:val="20"/>
          <w:szCs w:val="20"/>
          <w:lang w:val="en-US"/>
        </w:rPr>
        <w:t xml:space="preserve">Le traitement des séquelles à long terme d‘une infection à la Covid-19 ou d‘une vaccination contre celle-ci n‘est pas concluant pour tous les patients. La médecine anthroposophique a, entre-temps, fait des expériences sur la façon d‘aider les personnes concernées. Interniste et gastroentérologue, Harald Matthes présente ces approches dans un podcast.  </w:t>
      </w:r>
    </w:p>
    <w:p w14:paraId="3A1B65F0" w14:textId="77777777" w:rsidR="00741C51" w:rsidRPr="00741C51" w:rsidRDefault="00741C51" w:rsidP="00741C51">
      <w:pPr>
        <w:pStyle w:val="body"/>
        <w:spacing w:before="170"/>
        <w:rPr>
          <w:rFonts w:ascii="Titillium" w:hAnsi="Titillium" w:cs="Titillium"/>
          <w:sz w:val="20"/>
          <w:szCs w:val="20"/>
          <w:lang w:val="en-US"/>
        </w:rPr>
      </w:pPr>
      <w:r w:rsidRPr="00741C51">
        <w:rPr>
          <w:rFonts w:ascii="Titillium" w:hAnsi="Titillium" w:cs="Titillium"/>
          <w:sz w:val="20"/>
          <w:szCs w:val="20"/>
          <w:lang w:val="en-US"/>
        </w:rPr>
        <w:t xml:space="preserve">Les personnes souffrant de séquelles à long terme après une infection par le virus Sars-CoV-2 ou une vaccination contre ce virus sont souvent doublement affectées : les symptômes peuvent être si sévères qu‘un quotidien normal ne leur est plus possible et, fréquemment, elles ne reçoivent une aide adéquate qu‘après de longues recherches. « Le diagnostic, nous avons dû nous-mêmes apprendre à le poser », explique Harald Matthes, médecin-chef de l‘hôpital communautaire Havelhöhe et professeur fondateur de la Charité à Berlin, Allemagne. Expert en médecine anthroposophique et chercheur sur la couverture de soins en médecine intégrative, il accompagne depuis le début de la pandémie, il y a quatre ans, les personnes souffrant d‘une affection post-Covid ou d‘un syndrome post-vaccinal. </w:t>
      </w:r>
    </w:p>
    <w:p w14:paraId="4822859F" w14:textId="77777777" w:rsidR="00741C51" w:rsidRPr="00741C51" w:rsidRDefault="00741C51" w:rsidP="00741C51">
      <w:pPr>
        <w:pStyle w:val="body"/>
        <w:spacing w:before="170"/>
        <w:rPr>
          <w:rFonts w:ascii="Titillium" w:hAnsi="Titillium" w:cs="Titillium"/>
          <w:sz w:val="20"/>
          <w:szCs w:val="20"/>
          <w:lang w:val="en-US"/>
        </w:rPr>
      </w:pPr>
      <w:r w:rsidRPr="00741C51">
        <w:rPr>
          <w:rFonts w:ascii="Titillium" w:hAnsi="Titillium" w:cs="Titillium"/>
          <w:sz w:val="20"/>
          <w:szCs w:val="20"/>
          <w:lang w:val="en-US"/>
        </w:rPr>
        <w:t>Harald Matthes explique que les personnes touchées se sentent souvent abandonnées</w:t>
      </w:r>
      <w:r w:rsidRPr="00741C51">
        <w:rPr>
          <w:rFonts w:ascii="Times New Roman" w:hAnsi="Times New Roman" w:cs="Times New Roman"/>
          <w:sz w:val="20"/>
          <w:szCs w:val="20"/>
          <w:lang w:val="en-US"/>
        </w:rPr>
        <w:t>  </w:t>
      </w:r>
      <w:r w:rsidRPr="00741C51">
        <w:rPr>
          <w:rFonts w:ascii="Titillium" w:hAnsi="Titillium" w:cs="Titillium"/>
          <w:sz w:val="20"/>
          <w:szCs w:val="20"/>
          <w:lang w:val="en-US"/>
        </w:rPr>
        <w:t>: en Allemagne, l‘Assurance Maladie ne prend pas en charge les frais importants liés au diagnostic complexe d‘auto-anticorps spécifiques et de protéines spike en tant qu‘indices de séquelles à long terme de la Covid-19. En outre, les thérapies conventionnelles ont à ce jour rarement apporté de réponse aux multiples symptômes. En collaboration avec des collègues médecins d‘Allemagne, de Suisse, des Pays-Bas et de Hongrie, Harald Matthes a rassemblé, sur le portail spécialisé Anthromedics, des expériences de traitement relevant de la médecine anthroposophique. Il y cite des médicaments qui soulagent les symptômes individuels et exercent une action régulatrice et fortifiante sur les systèmes organiques affaiblis, des applications externes spécifiques comme les enveloppements ou les bains, ou encore les approches thérapeutiques anthroposophiques par le corps et le mouvement. Dans le nouveau podcast ‹ L‘être humain et la santé › (département de médecine du Goetheanum), Harald Matthes expose son point de vue sur la situation des personnes concernées, l‘état de la recherche en matière de syndrome post-Covid et post-vaccinal et la place des thérapies relevant de la médecine intégrative.</w:t>
      </w:r>
    </w:p>
    <w:p w14:paraId="6F6D1201" w14:textId="77777777" w:rsidR="00741C51" w:rsidRPr="00741C51" w:rsidRDefault="00741C51" w:rsidP="00741C51">
      <w:pPr>
        <w:pStyle w:val="body"/>
        <w:jc w:val="right"/>
        <w:rPr>
          <w:rFonts w:ascii="Titillium" w:hAnsi="Titillium" w:cs="Titillium"/>
          <w:sz w:val="20"/>
          <w:szCs w:val="20"/>
          <w:lang w:val="en-US"/>
        </w:rPr>
      </w:pPr>
      <w:r w:rsidRPr="00741C51">
        <w:rPr>
          <w:rFonts w:ascii="Titillium" w:hAnsi="Titillium" w:cs="Titillium"/>
          <w:sz w:val="20"/>
          <w:szCs w:val="20"/>
          <w:lang w:val="en-US"/>
        </w:rPr>
        <w:t>(2421 caractères/SJ; traduction : Jean Pierre Ablard)</w:t>
      </w:r>
    </w:p>
    <w:p w14:paraId="4658AA1F" w14:textId="77777777" w:rsidR="00741C51" w:rsidRPr="00741C51" w:rsidRDefault="00741C51" w:rsidP="00741C51">
      <w:pPr>
        <w:pStyle w:val="body"/>
        <w:spacing w:before="170"/>
        <w:rPr>
          <w:rFonts w:ascii="Titillium" w:hAnsi="Titillium" w:cs="Titillium"/>
          <w:sz w:val="20"/>
          <w:szCs w:val="20"/>
          <w:lang w:val="en-US"/>
        </w:rPr>
      </w:pPr>
      <w:r w:rsidRPr="00741C51">
        <w:rPr>
          <w:rFonts w:ascii="Titillium Bd" w:hAnsi="Titillium Bd" w:cs="Titillium Bd"/>
          <w:b/>
          <w:bCs/>
          <w:sz w:val="20"/>
          <w:szCs w:val="20"/>
          <w:lang w:val="en-US"/>
        </w:rPr>
        <w:t>Interview (en allemand)</w:t>
      </w:r>
      <w:r w:rsidRPr="00741C51">
        <w:rPr>
          <w:rFonts w:ascii="Titillium" w:hAnsi="Titillium" w:cs="Titillium"/>
          <w:sz w:val="20"/>
          <w:szCs w:val="20"/>
          <w:lang w:val="en-US"/>
        </w:rPr>
        <w:t xml:space="preserve"> ‹ Quelles aides apporter en cas d‘affection post-Covid ou de syndrome post-vaccinal ? ›, série de podcasts ‹ Mensch und Gesundheit › [L‘être humain et la santé], durée : 45 minutes environ, share.transistor.fm/s/0978a82c</w:t>
      </w:r>
    </w:p>
    <w:p w14:paraId="5283478B" w14:textId="77777777" w:rsidR="00741C51" w:rsidRPr="00741C51" w:rsidRDefault="00741C51" w:rsidP="00741C51">
      <w:pPr>
        <w:pStyle w:val="body"/>
        <w:spacing w:before="170"/>
        <w:rPr>
          <w:rFonts w:ascii="Titillium" w:hAnsi="Titillium" w:cs="Titillium"/>
          <w:sz w:val="20"/>
          <w:szCs w:val="20"/>
          <w:lang w:val="en-US"/>
        </w:rPr>
      </w:pPr>
      <w:r w:rsidRPr="00741C51">
        <w:rPr>
          <w:rFonts w:ascii="Titillium Bd" w:hAnsi="Titillium Bd" w:cs="Titillium Bd"/>
          <w:b/>
          <w:bCs/>
          <w:sz w:val="20"/>
          <w:szCs w:val="20"/>
          <w:lang w:val="en-US"/>
        </w:rPr>
        <w:t xml:space="preserve">Expériences de traitement en médecine anthroposophique (en allemand et en anglais) </w:t>
      </w:r>
      <w:r w:rsidRPr="00741C51">
        <w:rPr>
          <w:rFonts w:ascii="Titillium" w:hAnsi="Titillium" w:cs="Titillium"/>
          <w:sz w:val="20"/>
          <w:szCs w:val="20"/>
          <w:lang w:val="en-US"/>
        </w:rPr>
        <w:t>www.anthromedics.org/PRA-0993-DE</w:t>
      </w:r>
    </w:p>
    <w:p w14:paraId="17442226" w14:textId="115C8900" w:rsidR="006E7E7B" w:rsidRDefault="00741C51" w:rsidP="00741C51">
      <w:r>
        <w:rPr>
          <w:rFonts w:ascii="Titillium Bd" w:hAnsi="Titillium Bd" w:cs="Titillium Bd"/>
          <w:b/>
          <w:bCs/>
          <w:sz w:val="20"/>
          <w:szCs w:val="20"/>
        </w:rPr>
        <w:t>Personne contact</w:t>
      </w:r>
      <w:r>
        <w:rPr>
          <w:rFonts w:ascii="Titillium" w:hAnsi="Titillium" w:cs="Titillium"/>
          <w:sz w:val="20"/>
          <w:szCs w:val="20"/>
        </w:rPr>
        <w:t xml:space="preserve"> Julia Demming, julia.demming@medsektion-goetheanum.ch</w:t>
      </w:r>
    </w:p>
    <w:sectPr w:rsidR="006E7E7B" w:rsidSect="00741C51">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96DE3"/>
    <w:rsid w:val="006E7E7B"/>
    <w:rsid w:val="006F57DB"/>
    <w:rsid w:val="00741C51"/>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2687</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2024-06-18T15:38:00Z</dcterms:modified>
</cp:coreProperties>
</file>