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8D" w:rsidRDefault="0066668D">
      <w:pPr>
        <w:jc w:val="both"/>
        <w:rPr>
          <w:b/>
          <w:bCs/>
          <w:sz w:val="28"/>
          <w:szCs w:val="28"/>
        </w:rPr>
      </w:pPr>
    </w:p>
    <w:p w:rsidR="002C22B2" w:rsidRDefault="00C17EAF" w:rsidP="002C22B2">
      <w:pPr>
        <w:jc w:val="both"/>
        <w:rPr>
          <w:b/>
          <w:bCs/>
          <w:sz w:val="28"/>
          <w:szCs w:val="28"/>
        </w:rPr>
      </w:pPr>
      <w:r>
        <w:rPr>
          <w:b/>
          <w:bCs/>
          <w:noProof/>
          <w:sz w:val="28"/>
          <w:szCs w:val="28"/>
        </w:rPr>
        <w:drawing>
          <wp:inline distT="0" distB="0" distL="0" distR="0">
            <wp:extent cx="2575560" cy="685800"/>
            <wp:effectExtent l="0" t="0" r="0" b="0"/>
            <wp:docPr id="1" name="Bild 1" descr="Li logo 2004_mi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 logo 2004_mind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5560" cy="685800"/>
                    </a:xfrm>
                    <a:prstGeom prst="rect">
                      <a:avLst/>
                    </a:prstGeom>
                    <a:noFill/>
                    <a:ln>
                      <a:noFill/>
                    </a:ln>
                  </pic:spPr>
                </pic:pic>
              </a:graphicData>
            </a:graphic>
          </wp:inline>
        </w:drawing>
      </w:r>
    </w:p>
    <w:p w:rsidR="006305DA" w:rsidRDefault="006305DA" w:rsidP="002C22B2">
      <w:pPr>
        <w:jc w:val="both"/>
        <w:rPr>
          <w:b/>
          <w:bCs/>
          <w:sz w:val="28"/>
          <w:szCs w:val="28"/>
        </w:rPr>
      </w:pPr>
    </w:p>
    <w:p w:rsidR="002C22B2" w:rsidRDefault="00E67EA9" w:rsidP="002C22B2">
      <w:pPr>
        <w:jc w:val="both"/>
        <w:rPr>
          <w:bCs/>
          <w:sz w:val="24"/>
          <w:szCs w:val="24"/>
        </w:rPr>
      </w:pPr>
      <w:r>
        <w:rPr>
          <w:bCs/>
          <w:sz w:val="24"/>
          <w:szCs w:val="24"/>
        </w:rPr>
        <w:t>5 december 2012</w:t>
      </w:r>
    </w:p>
    <w:p w:rsidR="002C22B2" w:rsidRDefault="00E93534" w:rsidP="002C22B2">
      <w:pPr>
        <w:jc w:val="both"/>
        <w:rPr>
          <w:b/>
          <w:bCs/>
          <w:sz w:val="28"/>
          <w:szCs w:val="28"/>
        </w:rPr>
      </w:pPr>
      <w:r>
        <w:rPr>
          <w:b/>
          <w:bCs/>
          <w:sz w:val="28"/>
          <w:szCs w:val="28"/>
        </w:rPr>
        <w:br/>
      </w:r>
      <w:r w:rsidR="002C22B2">
        <w:rPr>
          <w:b/>
          <w:bCs/>
          <w:sz w:val="28"/>
          <w:szCs w:val="28"/>
        </w:rPr>
        <w:t>PRESSMEDDELANDE</w:t>
      </w:r>
    </w:p>
    <w:p w:rsidR="009B42FA" w:rsidRDefault="009B42FA" w:rsidP="002C22B2">
      <w:pPr>
        <w:jc w:val="both"/>
        <w:rPr>
          <w:b/>
          <w:bCs/>
          <w:sz w:val="28"/>
          <w:szCs w:val="28"/>
        </w:rPr>
      </w:pPr>
    </w:p>
    <w:p w:rsidR="002C22B2" w:rsidRDefault="00E67EA9" w:rsidP="002C22B2">
      <w:pPr>
        <w:rPr>
          <w:b/>
          <w:bCs/>
          <w:sz w:val="28"/>
          <w:szCs w:val="28"/>
        </w:rPr>
      </w:pPr>
      <w:r>
        <w:rPr>
          <w:b/>
          <w:bCs/>
          <w:sz w:val="28"/>
          <w:szCs w:val="28"/>
        </w:rPr>
        <w:t>Prisras på julmat – priset på skinka har halverats på 30 år</w:t>
      </w:r>
    </w:p>
    <w:p w:rsidR="00267278" w:rsidRPr="00267278" w:rsidRDefault="00267278" w:rsidP="00267278">
      <w:pPr>
        <w:jc w:val="both"/>
        <w:rPr>
          <w:iCs/>
          <w:sz w:val="24"/>
        </w:rPr>
      </w:pPr>
    </w:p>
    <w:p w:rsidR="00E561B8" w:rsidRPr="00E93534" w:rsidRDefault="00F112C8" w:rsidP="00E561B8">
      <w:pPr>
        <w:rPr>
          <w:b/>
          <w:iCs/>
          <w:sz w:val="24"/>
        </w:rPr>
      </w:pPr>
      <w:r w:rsidRPr="00E93534">
        <w:rPr>
          <w:b/>
          <w:iCs/>
          <w:sz w:val="24"/>
        </w:rPr>
        <w:t>Julhandeln förväntas sätta nytt rekord även i år. Detta trots att priserna på vår klassiska julmat halverats de senaste trettio åren. Priserna på skinka, prinskorv oc</w:t>
      </w:r>
      <w:r w:rsidR="00770F01">
        <w:rPr>
          <w:b/>
          <w:iCs/>
          <w:sz w:val="24"/>
        </w:rPr>
        <w:t>h julmust har gått ned mellan 49 och 66</w:t>
      </w:r>
      <w:r w:rsidRPr="00E93534">
        <w:rPr>
          <w:b/>
          <w:iCs/>
          <w:sz w:val="24"/>
        </w:rPr>
        <w:t xml:space="preserve"> procent sedan 1982 jämfört med konsumentprisindex, KPI. Det visar ny statistik från Livsmedelsföretagen.</w:t>
      </w:r>
    </w:p>
    <w:p w:rsidR="003E4D38" w:rsidRPr="003E4D38" w:rsidRDefault="003E4D38" w:rsidP="00E561B8">
      <w:pPr>
        <w:rPr>
          <w:iCs/>
          <w:sz w:val="24"/>
        </w:rPr>
      </w:pPr>
    </w:p>
    <w:p w:rsidR="00E93534" w:rsidRPr="00FA2179" w:rsidRDefault="00E93534" w:rsidP="00E93534">
      <w:pPr>
        <w:rPr>
          <w:iCs/>
          <w:sz w:val="24"/>
          <w:szCs w:val="24"/>
        </w:rPr>
      </w:pPr>
      <w:r w:rsidRPr="00FA2179">
        <w:rPr>
          <w:iCs/>
          <w:sz w:val="24"/>
          <w:szCs w:val="24"/>
        </w:rPr>
        <w:t>En liter julmust kostar till och med mindre nu jämfört med för 30 år sedan trots att konsumentpriserna generellt har ökat kraftigt. Hade julmusten, som kostade 5 kronor litern 1982, följt konsumentpris</w:t>
      </w:r>
      <w:r w:rsidR="00770F01">
        <w:rPr>
          <w:iCs/>
          <w:sz w:val="24"/>
          <w:szCs w:val="24"/>
        </w:rPr>
        <w:t>index, KPI, hade den kostat 12,90 kronor litern 2012. Men istället annonseras musten ut för 4,3</w:t>
      </w:r>
      <w:r w:rsidRPr="00FA2179">
        <w:rPr>
          <w:iCs/>
          <w:sz w:val="24"/>
          <w:szCs w:val="24"/>
        </w:rPr>
        <w:t>0 kronor lit</w:t>
      </w:r>
      <w:r w:rsidR="00770F01">
        <w:rPr>
          <w:iCs/>
          <w:sz w:val="24"/>
          <w:szCs w:val="24"/>
        </w:rPr>
        <w:t>ern. Det är en rabatt på hela 66</w:t>
      </w:r>
      <w:r w:rsidRPr="00FA2179">
        <w:rPr>
          <w:iCs/>
          <w:sz w:val="24"/>
          <w:szCs w:val="24"/>
        </w:rPr>
        <w:t xml:space="preserve"> procent.</w:t>
      </w:r>
    </w:p>
    <w:p w:rsidR="00E93534" w:rsidRPr="00FA2179" w:rsidRDefault="00E93534" w:rsidP="00E93534">
      <w:pPr>
        <w:rPr>
          <w:iCs/>
          <w:sz w:val="24"/>
          <w:szCs w:val="24"/>
        </w:rPr>
      </w:pPr>
    </w:p>
    <w:p w:rsidR="00E93534" w:rsidRPr="00FA2179" w:rsidRDefault="00E93534" w:rsidP="00E93534">
      <w:pPr>
        <w:rPr>
          <w:iCs/>
          <w:sz w:val="24"/>
          <w:szCs w:val="24"/>
        </w:rPr>
      </w:pPr>
      <w:r w:rsidRPr="00FA2179">
        <w:rPr>
          <w:iCs/>
          <w:sz w:val="24"/>
          <w:szCs w:val="24"/>
        </w:rPr>
        <w:t>– För konsumenter är det självklart positivt, men baksidan är en stenhård prispress hos våra medlemmar som på sikt kommer leda till färre innovationer och därmed tråkigare julmat, säger Livsmedelsföretagens VD Marie Söderqvist.</w:t>
      </w:r>
    </w:p>
    <w:p w:rsidR="00E93534" w:rsidRPr="00FA2179" w:rsidRDefault="00E93534" w:rsidP="00E93534">
      <w:pPr>
        <w:rPr>
          <w:iCs/>
          <w:sz w:val="24"/>
          <w:szCs w:val="24"/>
        </w:rPr>
      </w:pPr>
    </w:p>
    <w:p w:rsidR="00E93534" w:rsidRPr="00FA2179" w:rsidRDefault="00E93534" w:rsidP="00E93534">
      <w:pPr>
        <w:rPr>
          <w:iCs/>
          <w:sz w:val="24"/>
          <w:szCs w:val="24"/>
        </w:rPr>
      </w:pPr>
      <w:r w:rsidRPr="00FA2179">
        <w:rPr>
          <w:iCs/>
          <w:sz w:val="24"/>
          <w:szCs w:val="24"/>
        </w:rPr>
        <w:t>För samtidigt som priserna sjunker för varje år, jobbar var fjärde anställd i ett livsmedelsföretag som går med förlust. Fortsätter den här utvecklingen kommer branschen med 55 000 anställda att gå en tuff framtid till mötes.</w:t>
      </w:r>
    </w:p>
    <w:p w:rsidR="00E93534" w:rsidRPr="00FA2179" w:rsidRDefault="00E93534" w:rsidP="00E93534">
      <w:pPr>
        <w:rPr>
          <w:iCs/>
          <w:sz w:val="24"/>
          <w:szCs w:val="24"/>
        </w:rPr>
      </w:pPr>
    </w:p>
    <w:p w:rsidR="00E93534" w:rsidRPr="00FA2179" w:rsidRDefault="00E93534" w:rsidP="00E93534">
      <w:pPr>
        <w:rPr>
          <w:iCs/>
          <w:sz w:val="24"/>
          <w:szCs w:val="24"/>
        </w:rPr>
      </w:pPr>
      <w:r w:rsidRPr="00FA2179">
        <w:rPr>
          <w:iCs/>
          <w:sz w:val="24"/>
          <w:szCs w:val="24"/>
        </w:rPr>
        <w:t xml:space="preserve">Nu går livsmedelsföretagen in i årets i särklass viktigaste månad med en försäljningsökning på 50 procent, jämfört med en normalmånad. Det är också en tid då butikerna fylls med nya </w:t>
      </w:r>
      <w:r w:rsidR="00FA2179" w:rsidRPr="00FA2179">
        <w:rPr>
          <w:iCs/>
          <w:sz w:val="24"/>
          <w:szCs w:val="24"/>
        </w:rPr>
        <w:t>spännande</w:t>
      </w:r>
      <w:r w:rsidRPr="00FA2179">
        <w:rPr>
          <w:iCs/>
          <w:sz w:val="24"/>
          <w:szCs w:val="24"/>
        </w:rPr>
        <w:t xml:space="preserve"> matvaror.</w:t>
      </w:r>
    </w:p>
    <w:p w:rsidR="00E93534" w:rsidRPr="00FA2179" w:rsidRDefault="00E93534" w:rsidP="00E93534">
      <w:pPr>
        <w:rPr>
          <w:iCs/>
          <w:sz w:val="24"/>
          <w:szCs w:val="24"/>
        </w:rPr>
      </w:pPr>
    </w:p>
    <w:p w:rsidR="00E93534" w:rsidRPr="00FA2179" w:rsidRDefault="00E93534" w:rsidP="00E93534">
      <w:pPr>
        <w:rPr>
          <w:iCs/>
          <w:sz w:val="24"/>
          <w:szCs w:val="24"/>
        </w:rPr>
      </w:pPr>
      <w:r w:rsidRPr="00FA2179">
        <w:rPr>
          <w:iCs/>
          <w:sz w:val="24"/>
          <w:szCs w:val="24"/>
        </w:rPr>
        <w:t>– Nästan sex av tio livsmedelsföretag lanserar nya produkter nu i december. Det visar vilken stor uppfinningsrikedom som präglar vår bransch, säger Marie Söderqvist.</w:t>
      </w:r>
    </w:p>
    <w:p w:rsidR="00E93534" w:rsidRPr="00E93534" w:rsidRDefault="00E93534" w:rsidP="00E93534">
      <w:pPr>
        <w:rPr>
          <w:iCs/>
          <w:sz w:val="24"/>
        </w:rPr>
      </w:pPr>
    </w:p>
    <w:p w:rsidR="00F22AFC" w:rsidRPr="00F22AFC" w:rsidRDefault="00F22AFC" w:rsidP="00F22AFC">
      <w:pPr>
        <w:rPr>
          <w:rFonts w:ascii="Calibri" w:eastAsia="MS Mincho" w:hAnsi="Calibri"/>
          <w:b/>
          <w:sz w:val="24"/>
          <w:szCs w:val="24"/>
        </w:rPr>
      </w:pPr>
      <w:r w:rsidRPr="00F22AFC">
        <w:rPr>
          <w:rFonts w:ascii="Calibri" w:eastAsia="MS Mincho" w:hAnsi="Calibri"/>
          <w:b/>
          <w:sz w:val="24"/>
          <w:szCs w:val="24"/>
        </w:rPr>
        <w:t>Fakta: Prisutveckling på julmat</w:t>
      </w:r>
    </w:p>
    <w:tbl>
      <w:tblPr>
        <w:tblStyle w:val="Tabellrutnt"/>
        <w:tblW w:w="0" w:type="auto"/>
        <w:tblLook w:val="04A0" w:firstRow="1" w:lastRow="0" w:firstColumn="1" w:lastColumn="0" w:noHBand="0" w:noVBand="1"/>
      </w:tblPr>
      <w:tblGrid>
        <w:gridCol w:w="1715"/>
        <w:gridCol w:w="1508"/>
        <w:gridCol w:w="1508"/>
        <w:gridCol w:w="1413"/>
        <w:gridCol w:w="1550"/>
      </w:tblGrid>
      <w:tr w:rsidR="00770F01" w:rsidRPr="00F22AFC" w:rsidTr="00770F01">
        <w:tc>
          <w:tcPr>
            <w:tcW w:w="1715" w:type="dxa"/>
          </w:tcPr>
          <w:p w:rsidR="00770F01" w:rsidRPr="00F22AFC" w:rsidRDefault="00770F01" w:rsidP="00F22AFC">
            <w:pPr>
              <w:rPr>
                <w:rFonts w:ascii="Calibri" w:hAnsi="Calibri"/>
                <w:b/>
              </w:rPr>
            </w:pPr>
          </w:p>
        </w:tc>
        <w:tc>
          <w:tcPr>
            <w:tcW w:w="1508" w:type="dxa"/>
          </w:tcPr>
          <w:p w:rsidR="00770F01" w:rsidRPr="00F22AFC" w:rsidRDefault="00770F01" w:rsidP="00F22AFC">
            <w:pPr>
              <w:jc w:val="right"/>
              <w:rPr>
                <w:rFonts w:ascii="Calibri" w:hAnsi="Calibri"/>
                <w:b/>
              </w:rPr>
            </w:pPr>
            <w:r w:rsidRPr="00F22AFC">
              <w:rPr>
                <w:rFonts w:ascii="Calibri" w:hAnsi="Calibri"/>
                <w:b/>
              </w:rPr>
              <w:t>Pris 1982</w:t>
            </w:r>
          </w:p>
        </w:tc>
        <w:tc>
          <w:tcPr>
            <w:tcW w:w="1508" w:type="dxa"/>
          </w:tcPr>
          <w:p w:rsidR="00770F01" w:rsidRPr="00F22AFC" w:rsidRDefault="00770F01" w:rsidP="00F22AFC">
            <w:pPr>
              <w:jc w:val="right"/>
              <w:rPr>
                <w:rFonts w:ascii="Calibri" w:hAnsi="Calibri"/>
                <w:b/>
              </w:rPr>
            </w:pPr>
            <w:r w:rsidRPr="00F22AFC">
              <w:rPr>
                <w:rFonts w:ascii="Calibri" w:hAnsi="Calibri"/>
                <w:b/>
              </w:rPr>
              <w:t>Pris 201</w:t>
            </w:r>
            <w:r>
              <w:rPr>
                <w:rFonts w:ascii="Calibri" w:hAnsi="Calibri"/>
                <w:b/>
              </w:rPr>
              <w:t>2</w:t>
            </w:r>
            <w:r w:rsidR="001874F2">
              <w:rPr>
                <w:rFonts w:ascii="Calibri" w:hAnsi="Calibri"/>
                <w:b/>
              </w:rPr>
              <w:t>*</w:t>
            </w:r>
          </w:p>
        </w:tc>
        <w:tc>
          <w:tcPr>
            <w:tcW w:w="1413" w:type="dxa"/>
          </w:tcPr>
          <w:p w:rsidR="00770F01" w:rsidRPr="00F22AFC" w:rsidRDefault="00770F01" w:rsidP="00F22AFC">
            <w:pPr>
              <w:jc w:val="right"/>
              <w:rPr>
                <w:rFonts w:ascii="Calibri" w:hAnsi="Calibri"/>
                <w:b/>
              </w:rPr>
            </w:pPr>
            <w:r w:rsidRPr="00F22AFC">
              <w:rPr>
                <w:rFonts w:ascii="Calibri" w:hAnsi="Calibri"/>
                <w:b/>
              </w:rPr>
              <w:t>Pris</w:t>
            </w:r>
            <w:r w:rsidR="001874F2">
              <w:rPr>
                <w:rFonts w:ascii="Calibri" w:hAnsi="Calibri"/>
                <w:b/>
              </w:rPr>
              <w:t xml:space="preserve"> 2012*</w:t>
            </w:r>
            <w:bookmarkStart w:id="0" w:name="_GoBack"/>
            <w:bookmarkEnd w:id="0"/>
            <w:r w:rsidRPr="00F22AFC">
              <w:rPr>
                <w:rFonts w:ascii="Calibri" w:hAnsi="Calibri"/>
                <w:b/>
              </w:rPr>
              <w:t xml:space="preserve"> om maten följt KPI</w:t>
            </w:r>
          </w:p>
        </w:tc>
        <w:tc>
          <w:tcPr>
            <w:tcW w:w="1550" w:type="dxa"/>
          </w:tcPr>
          <w:p w:rsidR="00770F01" w:rsidRPr="00F22AFC" w:rsidRDefault="00770F01" w:rsidP="00F22AFC">
            <w:pPr>
              <w:jc w:val="right"/>
              <w:rPr>
                <w:rFonts w:ascii="Calibri" w:hAnsi="Calibri"/>
                <w:b/>
              </w:rPr>
            </w:pPr>
            <w:r w:rsidRPr="00F22AFC">
              <w:rPr>
                <w:rFonts w:ascii="Calibri" w:hAnsi="Calibri"/>
                <w:b/>
              </w:rPr>
              <w:t>Rabatt jmf KPI</w:t>
            </w:r>
          </w:p>
        </w:tc>
      </w:tr>
      <w:tr w:rsidR="00770F01" w:rsidRPr="00F22AFC" w:rsidTr="00770F01">
        <w:tc>
          <w:tcPr>
            <w:tcW w:w="1715" w:type="dxa"/>
          </w:tcPr>
          <w:p w:rsidR="00770F01" w:rsidRPr="00F22AFC" w:rsidRDefault="00770F01" w:rsidP="00F22AFC">
            <w:pPr>
              <w:rPr>
                <w:rFonts w:ascii="Calibri" w:hAnsi="Calibri"/>
                <w:b/>
              </w:rPr>
            </w:pPr>
            <w:r w:rsidRPr="00F22AFC">
              <w:rPr>
                <w:rFonts w:ascii="Calibri" w:hAnsi="Calibri"/>
                <w:b/>
              </w:rPr>
              <w:t>Julskinka</w:t>
            </w:r>
          </w:p>
        </w:tc>
        <w:tc>
          <w:tcPr>
            <w:tcW w:w="1508" w:type="dxa"/>
          </w:tcPr>
          <w:p w:rsidR="00770F01" w:rsidRPr="00F22AFC" w:rsidRDefault="00770F01" w:rsidP="00F22AFC">
            <w:pPr>
              <w:jc w:val="right"/>
              <w:rPr>
                <w:rFonts w:ascii="Calibri" w:hAnsi="Calibri"/>
              </w:rPr>
            </w:pPr>
            <w:r w:rsidRPr="00F22AFC">
              <w:rPr>
                <w:rFonts w:ascii="Calibri" w:hAnsi="Calibri"/>
              </w:rPr>
              <w:t>37,60 kr/kg</w:t>
            </w:r>
          </w:p>
        </w:tc>
        <w:tc>
          <w:tcPr>
            <w:tcW w:w="1508" w:type="dxa"/>
          </w:tcPr>
          <w:p w:rsidR="00770F01" w:rsidRPr="00F22AFC" w:rsidRDefault="00770F01" w:rsidP="00F22AFC">
            <w:pPr>
              <w:jc w:val="right"/>
              <w:rPr>
                <w:rFonts w:ascii="Calibri" w:hAnsi="Calibri"/>
              </w:rPr>
            </w:pPr>
            <w:r>
              <w:rPr>
                <w:rFonts w:ascii="Calibri" w:hAnsi="Calibri"/>
              </w:rPr>
              <w:t>49,9</w:t>
            </w:r>
            <w:r w:rsidRPr="00F22AFC">
              <w:rPr>
                <w:rFonts w:ascii="Calibri" w:hAnsi="Calibri"/>
              </w:rPr>
              <w:t>0 kr/kg</w:t>
            </w:r>
          </w:p>
        </w:tc>
        <w:tc>
          <w:tcPr>
            <w:tcW w:w="1413" w:type="dxa"/>
          </w:tcPr>
          <w:p w:rsidR="00770F01" w:rsidRPr="00F22AFC" w:rsidRDefault="00770F01" w:rsidP="00F22AFC">
            <w:pPr>
              <w:jc w:val="right"/>
              <w:rPr>
                <w:rFonts w:ascii="Calibri" w:hAnsi="Calibri"/>
              </w:rPr>
            </w:pPr>
            <w:r>
              <w:rPr>
                <w:rFonts w:ascii="Calibri" w:hAnsi="Calibri"/>
              </w:rPr>
              <w:t>97,00</w:t>
            </w:r>
            <w:r w:rsidRPr="00F22AFC">
              <w:rPr>
                <w:rFonts w:ascii="Calibri" w:hAnsi="Calibri"/>
              </w:rPr>
              <w:t xml:space="preserve"> kr/kg</w:t>
            </w:r>
          </w:p>
        </w:tc>
        <w:tc>
          <w:tcPr>
            <w:tcW w:w="1550" w:type="dxa"/>
          </w:tcPr>
          <w:p w:rsidR="00770F01" w:rsidRPr="00F22AFC" w:rsidRDefault="00770F01" w:rsidP="00F22AFC">
            <w:pPr>
              <w:jc w:val="right"/>
              <w:rPr>
                <w:rFonts w:ascii="Calibri" w:hAnsi="Calibri"/>
              </w:rPr>
            </w:pPr>
            <w:r>
              <w:rPr>
                <w:rFonts w:ascii="Calibri" w:hAnsi="Calibri"/>
              </w:rPr>
              <w:t>49</w:t>
            </w:r>
            <w:r w:rsidRPr="00F22AFC">
              <w:rPr>
                <w:rFonts w:ascii="Calibri" w:hAnsi="Calibri"/>
              </w:rPr>
              <w:t xml:space="preserve"> %</w:t>
            </w:r>
          </w:p>
        </w:tc>
      </w:tr>
      <w:tr w:rsidR="00770F01" w:rsidRPr="00F22AFC" w:rsidTr="00770F01">
        <w:tc>
          <w:tcPr>
            <w:tcW w:w="1715" w:type="dxa"/>
          </w:tcPr>
          <w:p w:rsidR="00770F01" w:rsidRPr="00F22AFC" w:rsidRDefault="00770F01" w:rsidP="00F22AFC">
            <w:pPr>
              <w:rPr>
                <w:rFonts w:ascii="Calibri" w:hAnsi="Calibri"/>
                <w:b/>
              </w:rPr>
            </w:pPr>
            <w:r w:rsidRPr="00F22AFC">
              <w:rPr>
                <w:rFonts w:ascii="Calibri" w:hAnsi="Calibri"/>
                <w:b/>
              </w:rPr>
              <w:t>Prinskorv</w:t>
            </w:r>
          </w:p>
        </w:tc>
        <w:tc>
          <w:tcPr>
            <w:tcW w:w="1508" w:type="dxa"/>
          </w:tcPr>
          <w:p w:rsidR="00770F01" w:rsidRPr="00F22AFC" w:rsidRDefault="00770F01" w:rsidP="00F22AFC">
            <w:pPr>
              <w:jc w:val="right"/>
              <w:rPr>
                <w:rFonts w:ascii="Calibri" w:hAnsi="Calibri"/>
              </w:rPr>
            </w:pPr>
            <w:r w:rsidRPr="00F22AFC">
              <w:rPr>
                <w:rFonts w:ascii="Calibri" w:hAnsi="Calibri"/>
              </w:rPr>
              <w:t>31,40 kr/kg</w:t>
            </w:r>
          </w:p>
        </w:tc>
        <w:tc>
          <w:tcPr>
            <w:tcW w:w="1508" w:type="dxa"/>
          </w:tcPr>
          <w:p w:rsidR="00770F01" w:rsidRPr="00F22AFC" w:rsidRDefault="00770F01" w:rsidP="00F22AFC">
            <w:pPr>
              <w:jc w:val="right"/>
              <w:rPr>
                <w:rFonts w:ascii="Calibri" w:hAnsi="Calibri"/>
              </w:rPr>
            </w:pPr>
            <w:r>
              <w:rPr>
                <w:rFonts w:ascii="Calibri" w:hAnsi="Calibri"/>
              </w:rPr>
              <w:t>41</w:t>
            </w:r>
            <w:r w:rsidRPr="00F22AFC">
              <w:rPr>
                <w:rFonts w:ascii="Calibri" w:hAnsi="Calibri"/>
              </w:rPr>
              <w:t>,00 kr/kg</w:t>
            </w:r>
          </w:p>
        </w:tc>
        <w:tc>
          <w:tcPr>
            <w:tcW w:w="1413" w:type="dxa"/>
          </w:tcPr>
          <w:p w:rsidR="00770F01" w:rsidRPr="00F22AFC" w:rsidRDefault="00770F01" w:rsidP="00F22AFC">
            <w:pPr>
              <w:jc w:val="right"/>
              <w:rPr>
                <w:rFonts w:ascii="Calibri" w:hAnsi="Calibri"/>
              </w:rPr>
            </w:pPr>
            <w:r>
              <w:rPr>
                <w:rFonts w:ascii="Calibri" w:hAnsi="Calibri"/>
              </w:rPr>
              <w:t>80,2</w:t>
            </w:r>
            <w:r w:rsidRPr="00F22AFC">
              <w:rPr>
                <w:rFonts w:ascii="Calibri" w:hAnsi="Calibri"/>
              </w:rPr>
              <w:t>0 kr/kg</w:t>
            </w:r>
          </w:p>
        </w:tc>
        <w:tc>
          <w:tcPr>
            <w:tcW w:w="1550" w:type="dxa"/>
          </w:tcPr>
          <w:p w:rsidR="00770F01" w:rsidRPr="00F22AFC" w:rsidRDefault="00770F01" w:rsidP="00F22AFC">
            <w:pPr>
              <w:jc w:val="right"/>
              <w:rPr>
                <w:rFonts w:ascii="Calibri" w:hAnsi="Calibri"/>
              </w:rPr>
            </w:pPr>
            <w:r>
              <w:rPr>
                <w:rFonts w:ascii="Calibri" w:hAnsi="Calibri"/>
              </w:rPr>
              <w:t>49</w:t>
            </w:r>
            <w:r w:rsidRPr="00F22AFC">
              <w:rPr>
                <w:rFonts w:ascii="Calibri" w:hAnsi="Calibri"/>
              </w:rPr>
              <w:t xml:space="preserve"> %</w:t>
            </w:r>
          </w:p>
        </w:tc>
      </w:tr>
      <w:tr w:rsidR="00770F01" w:rsidRPr="00F22AFC" w:rsidTr="00770F01">
        <w:tc>
          <w:tcPr>
            <w:tcW w:w="1715" w:type="dxa"/>
          </w:tcPr>
          <w:p w:rsidR="00770F01" w:rsidRPr="00F22AFC" w:rsidRDefault="00770F01" w:rsidP="00F22AFC">
            <w:pPr>
              <w:rPr>
                <w:rFonts w:ascii="Calibri" w:hAnsi="Calibri"/>
                <w:b/>
              </w:rPr>
            </w:pPr>
            <w:r w:rsidRPr="00F22AFC">
              <w:rPr>
                <w:rFonts w:ascii="Calibri" w:hAnsi="Calibri"/>
                <w:b/>
              </w:rPr>
              <w:t>Julmust</w:t>
            </w:r>
          </w:p>
        </w:tc>
        <w:tc>
          <w:tcPr>
            <w:tcW w:w="1508" w:type="dxa"/>
          </w:tcPr>
          <w:p w:rsidR="00770F01" w:rsidRPr="00F22AFC" w:rsidRDefault="00770F01" w:rsidP="00F22AFC">
            <w:pPr>
              <w:jc w:val="right"/>
              <w:rPr>
                <w:rFonts w:ascii="Calibri" w:hAnsi="Calibri"/>
              </w:rPr>
            </w:pPr>
            <w:r w:rsidRPr="00F22AFC">
              <w:rPr>
                <w:rFonts w:ascii="Calibri" w:hAnsi="Calibri"/>
              </w:rPr>
              <w:t>5,00 kr/l</w:t>
            </w:r>
          </w:p>
        </w:tc>
        <w:tc>
          <w:tcPr>
            <w:tcW w:w="1508" w:type="dxa"/>
          </w:tcPr>
          <w:p w:rsidR="00770F01" w:rsidRPr="00F22AFC" w:rsidRDefault="001874F2" w:rsidP="001874F2">
            <w:pPr>
              <w:jc w:val="center"/>
              <w:rPr>
                <w:rFonts w:ascii="Calibri" w:hAnsi="Calibri"/>
              </w:rPr>
            </w:pPr>
            <w:r>
              <w:rPr>
                <w:rFonts w:ascii="Calibri" w:hAnsi="Calibri"/>
              </w:rPr>
              <w:t xml:space="preserve">       </w:t>
            </w:r>
            <w:r w:rsidR="00770F01">
              <w:rPr>
                <w:rFonts w:ascii="Calibri" w:hAnsi="Calibri"/>
              </w:rPr>
              <w:t>4,3</w:t>
            </w:r>
            <w:r w:rsidR="00770F01" w:rsidRPr="00F22AFC">
              <w:rPr>
                <w:rFonts w:ascii="Calibri" w:hAnsi="Calibri"/>
              </w:rPr>
              <w:t>0 kr/l</w:t>
            </w:r>
          </w:p>
        </w:tc>
        <w:tc>
          <w:tcPr>
            <w:tcW w:w="1413" w:type="dxa"/>
          </w:tcPr>
          <w:p w:rsidR="00770F01" w:rsidRPr="00F22AFC" w:rsidRDefault="00770F01" w:rsidP="00F22AFC">
            <w:pPr>
              <w:jc w:val="right"/>
              <w:rPr>
                <w:rFonts w:ascii="Calibri" w:hAnsi="Calibri"/>
              </w:rPr>
            </w:pPr>
            <w:r>
              <w:rPr>
                <w:rFonts w:ascii="Calibri" w:hAnsi="Calibri"/>
              </w:rPr>
              <w:t>12,9</w:t>
            </w:r>
            <w:r w:rsidRPr="00F22AFC">
              <w:rPr>
                <w:rFonts w:ascii="Calibri" w:hAnsi="Calibri"/>
              </w:rPr>
              <w:t>0 kr/l</w:t>
            </w:r>
          </w:p>
        </w:tc>
        <w:tc>
          <w:tcPr>
            <w:tcW w:w="1550" w:type="dxa"/>
          </w:tcPr>
          <w:p w:rsidR="00770F01" w:rsidRPr="00F22AFC" w:rsidRDefault="00770F01" w:rsidP="00F22AFC">
            <w:pPr>
              <w:jc w:val="right"/>
              <w:rPr>
                <w:rFonts w:ascii="Calibri" w:hAnsi="Calibri"/>
              </w:rPr>
            </w:pPr>
            <w:r>
              <w:rPr>
                <w:rFonts w:ascii="Calibri" w:hAnsi="Calibri"/>
              </w:rPr>
              <w:t>66</w:t>
            </w:r>
            <w:r w:rsidRPr="00F22AFC">
              <w:rPr>
                <w:rFonts w:ascii="Calibri" w:hAnsi="Calibri"/>
              </w:rPr>
              <w:t xml:space="preserve"> %</w:t>
            </w:r>
          </w:p>
        </w:tc>
      </w:tr>
    </w:tbl>
    <w:p w:rsidR="00F22AFC" w:rsidRPr="00F22AFC" w:rsidRDefault="00F22AFC" w:rsidP="00F22AFC">
      <w:pPr>
        <w:jc w:val="both"/>
        <w:rPr>
          <w:i/>
          <w:iCs/>
          <w:szCs w:val="22"/>
        </w:rPr>
      </w:pPr>
      <w:r w:rsidRPr="00F22AFC">
        <w:rPr>
          <w:i/>
          <w:iCs/>
          <w:szCs w:val="22"/>
        </w:rPr>
        <w:t>Källa: Livsmedelsföretagen/SCB. Priserna på produkterna bygger på kampanjpriser i dagligvaruhandelns annonser i mitten av december.</w:t>
      </w:r>
      <w:r w:rsidR="00770F01">
        <w:rPr>
          <w:i/>
          <w:iCs/>
          <w:szCs w:val="22"/>
        </w:rPr>
        <w:t xml:space="preserve"> *För prinskorv är priserna från 2011</w:t>
      </w:r>
    </w:p>
    <w:p w:rsidR="00F22AFC" w:rsidRPr="00F22AFC" w:rsidRDefault="00F22AFC" w:rsidP="00F22AFC">
      <w:pPr>
        <w:jc w:val="both"/>
        <w:rPr>
          <w:iCs/>
          <w:sz w:val="22"/>
          <w:szCs w:val="22"/>
        </w:rPr>
      </w:pPr>
    </w:p>
    <w:p w:rsidR="00E561B8" w:rsidRDefault="00F22AFC" w:rsidP="00F22AFC">
      <w:pPr>
        <w:jc w:val="both"/>
        <w:rPr>
          <w:iCs/>
          <w:sz w:val="24"/>
          <w:szCs w:val="24"/>
        </w:rPr>
      </w:pPr>
      <w:r w:rsidRPr="00F22AFC">
        <w:rPr>
          <w:iCs/>
          <w:sz w:val="24"/>
          <w:szCs w:val="24"/>
        </w:rPr>
        <w:t>Fotnot: Nytagna pressbil</w:t>
      </w:r>
      <w:r>
        <w:rPr>
          <w:iCs/>
          <w:sz w:val="24"/>
          <w:szCs w:val="24"/>
        </w:rPr>
        <w:t>der på Marie Söderqvist och på Å</w:t>
      </w:r>
      <w:r w:rsidRPr="00F22AFC">
        <w:rPr>
          <w:iCs/>
          <w:sz w:val="24"/>
          <w:szCs w:val="24"/>
        </w:rPr>
        <w:t xml:space="preserve">rets julbord 2012 </w:t>
      </w:r>
      <w:r>
        <w:rPr>
          <w:iCs/>
          <w:sz w:val="24"/>
          <w:szCs w:val="24"/>
        </w:rPr>
        <w:t xml:space="preserve">finns att ladda ned senast 15.00 idag på </w:t>
      </w:r>
      <w:hyperlink r:id="rId9" w:history="1">
        <w:r w:rsidR="000D0711" w:rsidRPr="008F296E">
          <w:rPr>
            <w:rStyle w:val="Hyperlnk"/>
            <w:iCs/>
            <w:sz w:val="24"/>
            <w:szCs w:val="24"/>
          </w:rPr>
          <w:t>http://www.mynewsdesk.com/se/pressroom/livsmedelsforetagen__li</w:t>
        </w:r>
      </w:hyperlink>
      <w:r w:rsidR="000D0711">
        <w:rPr>
          <w:iCs/>
          <w:sz w:val="24"/>
          <w:szCs w:val="24"/>
        </w:rPr>
        <w:br/>
      </w:r>
    </w:p>
    <w:p w:rsidR="00E561B8" w:rsidRPr="00FA2179" w:rsidRDefault="00F22AFC">
      <w:pPr>
        <w:jc w:val="both"/>
        <w:rPr>
          <w:iCs/>
          <w:sz w:val="24"/>
          <w:szCs w:val="24"/>
        </w:rPr>
      </w:pPr>
      <w:r w:rsidRPr="00FA2179">
        <w:rPr>
          <w:iCs/>
          <w:sz w:val="24"/>
          <w:szCs w:val="24"/>
        </w:rPr>
        <w:t xml:space="preserve">Presskontakt: Peter </w:t>
      </w:r>
      <w:proofErr w:type="spellStart"/>
      <w:r w:rsidRPr="00FA2179">
        <w:rPr>
          <w:iCs/>
          <w:sz w:val="24"/>
          <w:szCs w:val="24"/>
        </w:rPr>
        <w:t>Wannding</w:t>
      </w:r>
      <w:proofErr w:type="spellEnd"/>
      <w:r w:rsidRPr="00FA2179">
        <w:rPr>
          <w:iCs/>
          <w:sz w:val="24"/>
          <w:szCs w:val="24"/>
        </w:rPr>
        <w:t xml:space="preserve">, </w:t>
      </w:r>
      <w:hyperlink r:id="rId10" w:history="1">
        <w:r w:rsidRPr="00FA2179">
          <w:rPr>
            <w:rStyle w:val="Hyperlnk"/>
            <w:iCs/>
            <w:color w:val="000000" w:themeColor="text1"/>
            <w:sz w:val="24"/>
            <w:szCs w:val="24"/>
            <w:u w:val="none"/>
          </w:rPr>
          <w:t>tel:0730-326513</w:t>
        </w:r>
      </w:hyperlink>
      <w:r w:rsidRPr="00FA2179">
        <w:rPr>
          <w:iCs/>
          <w:sz w:val="24"/>
          <w:szCs w:val="24"/>
        </w:rPr>
        <w:t xml:space="preserve">, </w:t>
      </w:r>
      <w:hyperlink r:id="rId11" w:history="1">
        <w:r w:rsidRPr="00FA2179">
          <w:rPr>
            <w:rStyle w:val="Hyperlnk"/>
            <w:iCs/>
            <w:sz w:val="24"/>
            <w:szCs w:val="24"/>
          </w:rPr>
          <w:t>peter.wannding@li.se</w:t>
        </w:r>
      </w:hyperlink>
      <w:r w:rsidRPr="00FA2179">
        <w:rPr>
          <w:iCs/>
          <w:sz w:val="24"/>
          <w:szCs w:val="24"/>
        </w:rPr>
        <w:t xml:space="preserve">, </w:t>
      </w:r>
      <w:hyperlink r:id="rId12" w:history="1">
        <w:r w:rsidR="00FA2179" w:rsidRPr="00FA2179">
          <w:rPr>
            <w:rStyle w:val="Hyperlnk"/>
            <w:iCs/>
            <w:sz w:val="24"/>
            <w:szCs w:val="24"/>
          </w:rPr>
          <w:t>www.li.se</w:t>
        </w:r>
      </w:hyperlink>
    </w:p>
    <w:p w:rsidR="00FA2179" w:rsidRDefault="00FA2179">
      <w:pPr>
        <w:jc w:val="both"/>
        <w:rPr>
          <w:b/>
          <w:iCs/>
          <w:sz w:val="24"/>
          <w:szCs w:val="24"/>
        </w:rPr>
      </w:pPr>
    </w:p>
    <w:p w:rsidR="00E561B8" w:rsidRPr="00FA2179" w:rsidRDefault="00FA2179">
      <w:pPr>
        <w:jc w:val="both"/>
        <w:rPr>
          <w:i/>
          <w:iCs/>
          <w:sz w:val="22"/>
          <w:szCs w:val="22"/>
        </w:rPr>
      </w:pPr>
      <w:r w:rsidRPr="00FA2179">
        <w:rPr>
          <w:i/>
          <w:iCs/>
          <w:sz w:val="22"/>
          <w:szCs w:val="22"/>
        </w:rPr>
        <w:t>Den svenska livsmedelsbranschen består av 3 000 företag som tillsammans omsätter drygt 170 miljarder kronor. Det är därmed Sveriges 4:e största industrigren som står för närmare 55 miljarder i exportintäkter</w:t>
      </w:r>
      <w:r>
        <w:rPr>
          <w:i/>
          <w:iCs/>
          <w:sz w:val="22"/>
          <w:szCs w:val="22"/>
        </w:rPr>
        <w:t xml:space="preserve">. </w:t>
      </w: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E561B8" w:rsidRDefault="00E561B8">
      <w:pPr>
        <w:jc w:val="both"/>
        <w:rPr>
          <w:iCs/>
          <w:sz w:val="22"/>
          <w:szCs w:val="22"/>
        </w:rPr>
      </w:pPr>
    </w:p>
    <w:p w:rsidR="006E7CE5" w:rsidRDefault="006E7CE5" w:rsidP="006E7CE5">
      <w:pPr>
        <w:pStyle w:val="Brdtext2"/>
        <w:spacing w:after="0" w:line="240" w:lineRule="auto"/>
      </w:pPr>
    </w:p>
    <w:p w:rsidR="0066668D" w:rsidRDefault="0066668D" w:rsidP="006E7CE5">
      <w:pPr>
        <w:pStyle w:val="Brdtext2"/>
        <w:spacing w:after="0" w:line="240" w:lineRule="auto"/>
      </w:pPr>
    </w:p>
    <w:sectPr w:rsidR="0066668D">
      <w:footerReference w:type="even" r:id="rId13"/>
      <w:pgSz w:w="11906" w:h="16838" w:code="9"/>
      <w:pgMar w:top="567" w:right="1418" w:bottom="567"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72" w:rsidRDefault="000E2372">
      <w:r>
        <w:separator/>
      </w:r>
    </w:p>
  </w:endnote>
  <w:endnote w:type="continuationSeparator" w:id="0">
    <w:p w:rsidR="000E2372" w:rsidRDefault="000E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72" w:rsidRDefault="000E237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0E2372" w:rsidRDefault="000E2372">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72" w:rsidRDefault="000E2372">
      <w:r>
        <w:separator/>
      </w:r>
    </w:p>
  </w:footnote>
  <w:footnote w:type="continuationSeparator" w:id="0">
    <w:p w:rsidR="000E2372" w:rsidRDefault="000E2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311"/>
    <w:multiLevelType w:val="hybridMultilevel"/>
    <w:tmpl w:val="B93E1008"/>
    <w:lvl w:ilvl="0" w:tplc="72D489CC">
      <w:start w:val="200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77F23F3"/>
    <w:multiLevelType w:val="hybridMultilevel"/>
    <w:tmpl w:val="94D06B4C"/>
    <w:lvl w:ilvl="0" w:tplc="4B7665A8">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2C0E42A3"/>
    <w:multiLevelType w:val="hybridMultilevel"/>
    <w:tmpl w:val="07E8B756"/>
    <w:lvl w:ilvl="0" w:tplc="A404B6B6">
      <w:start w:val="200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nsid w:val="301A0912"/>
    <w:multiLevelType w:val="hybridMultilevel"/>
    <w:tmpl w:val="220A40F0"/>
    <w:lvl w:ilvl="0" w:tplc="6052A234">
      <w:start w:val="2007"/>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32CB610A"/>
    <w:multiLevelType w:val="hybridMultilevel"/>
    <w:tmpl w:val="EABE0FDE"/>
    <w:lvl w:ilvl="0" w:tplc="4B7665A8">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55624C9E"/>
    <w:multiLevelType w:val="hybridMultilevel"/>
    <w:tmpl w:val="ED2AFACE"/>
    <w:lvl w:ilvl="0" w:tplc="72D489C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6454C37"/>
    <w:multiLevelType w:val="hybridMultilevel"/>
    <w:tmpl w:val="4C966E22"/>
    <w:lvl w:ilvl="0" w:tplc="4B7665A8">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A6F0D3E"/>
    <w:multiLevelType w:val="hybridMultilevel"/>
    <w:tmpl w:val="FF5641C8"/>
    <w:lvl w:ilvl="0" w:tplc="94283C26">
      <w:start w:val="200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B657E6A"/>
    <w:multiLevelType w:val="hybridMultilevel"/>
    <w:tmpl w:val="0356650C"/>
    <w:lvl w:ilvl="0" w:tplc="4B7665A8">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3"/>
  </w:num>
  <w:num w:numId="6">
    <w:abstractNumId w:val="7"/>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6D"/>
    <w:rsid w:val="0000696D"/>
    <w:rsid w:val="00015AD3"/>
    <w:rsid w:val="00035C25"/>
    <w:rsid w:val="00041F6C"/>
    <w:rsid w:val="00045CA2"/>
    <w:rsid w:val="0008456E"/>
    <w:rsid w:val="000B72B2"/>
    <w:rsid w:val="000C457D"/>
    <w:rsid w:val="000D0711"/>
    <w:rsid w:val="000D4364"/>
    <w:rsid w:val="000E2372"/>
    <w:rsid w:val="000F78FE"/>
    <w:rsid w:val="00107FF3"/>
    <w:rsid w:val="0011538D"/>
    <w:rsid w:val="0014382E"/>
    <w:rsid w:val="0016246F"/>
    <w:rsid w:val="001874F2"/>
    <w:rsid w:val="0019125C"/>
    <w:rsid w:val="001D037C"/>
    <w:rsid w:val="001F528A"/>
    <w:rsid w:val="001F5C1E"/>
    <w:rsid w:val="002278A2"/>
    <w:rsid w:val="00236A10"/>
    <w:rsid w:val="0024183D"/>
    <w:rsid w:val="00241A41"/>
    <w:rsid w:val="002564EF"/>
    <w:rsid w:val="00267278"/>
    <w:rsid w:val="002C22B2"/>
    <w:rsid w:val="002C5459"/>
    <w:rsid w:val="002D5B50"/>
    <w:rsid w:val="003200ED"/>
    <w:rsid w:val="00346E7F"/>
    <w:rsid w:val="00353B29"/>
    <w:rsid w:val="00357336"/>
    <w:rsid w:val="00375BC4"/>
    <w:rsid w:val="003847A3"/>
    <w:rsid w:val="003E4D38"/>
    <w:rsid w:val="003F0373"/>
    <w:rsid w:val="003F7E0C"/>
    <w:rsid w:val="00400883"/>
    <w:rsid w:val="0040526E"/>
    <w:rsid w:val="00411077"/>
    <w:rsid w:val="00436778"/>
    <w:rsid w:val="004413EF"/>
    <w:rsid w:val="00451ADF"/>
    <w:rsid w:val="0045720F"/>
    <w:rsid w:val="004714B3"/>
    <w:rsid w:val="004754CD"/>
    <w:rsid w:val="00483E73"/>
    <w:rsid w:val="004858CA"/>
    <w:rsid w:val="00492907"/>
    <w:rsid w:val="00494C40"/>
    <w:rsid w:val="00495074"/>
    <w:rsid w:val="004C5741"/>
    <w:rsid w:val="004D2A28"/>
    <w:rsid w:val="004E0C3C"/>
    <w:rsid w:val="00530EF8"/>
    <w:rsid w:val="00541166"/>
    <w:rsid w:val="00542A94"/>
    <w:rsid w:val="00586CD8"/>
    <w:rsid w:val="005D7C4D"/>
    <w:rsid w:val="005D7D47"/>
    <w:rsid w:val="006305DA"/>
    <w:rsid w:val="00645AC4"/>
    <w:rsid w:val="00647716"/>
    <w:rsid w:val="00655E33"/>
    <w:rsid w:val="0066668D"/>
    <w:rsid w:val="00667D1A"/>
    <w:rsid w:val="00676AC7"/>
    <w:rsid w:val="006772F0"/>
    <w:rsid w:val="0068231C"/>
    <w:rsid w:val="006B0A4A"/>
    <w:rsid w:val="006C1151"/>
    <w:rsid w:val="006E7CE5"/>
    <w:rsid w:val="00707E94"/>
    <w:rsid w:val="00742DFA"/>
    <w:rsid w:val="00757866"/>
    <w:rsid w:val="00766493"/>
    <w:rsid w:val="00770F01"/>
    <w:rsid w:val="007930E2"/>
    <w:rsid w:val="00795D74"/>
    <w:rsid w:val="007F3B6F"/>
    <w:rsid w:val="008033B9"/>
    <w:rsid w:val="008038C3"/>
    <w:rsid w:val="00843846"/>
    <w:rsid w:val="008735D2"/>
    <w:rsid w:val="00875127"/>
    <w:rsid w:val="00893781"/>
    <w:rsid w:val="008F0EA6"/>
    <w:rsid w:val="008F49C0"/>
    <w:rsid w:val="008F4F78"/>
    <w:rsid w:val="00900A73"/>
    <w:rsid w:val="00901C7E"/>
    <w:rsid w:val="00917104"/>
    <w:rsid w:val="00956ADD"/>
    <w:rsid w:val="0096143D"/>
    <w:rsid w:val="00964BB6"/>
    <w:rsid w:val="009726D4"/>
    <w:rsid w:val="0097751B"/>
    <w:rsid w:val="0099077E"/>
    <w:rsid w:val="009961B1"/>
    <w:rsid w:val="009B42FA"/>
    <w:rsid w:val="009F4081"/>
    <w:rsid w:val="00A54727"/>
    <w:rsid w:val="00A566B8"/>
    <w:rsid w:val="00AF66FF"/>
    <w:rsid w:val="00B14074"/>
    <w:rsid w:val="00B25B98"/>
    <w:rsid w:val="00B334C2"/>
    <w:rsid w:val="00B340D6"/>
    <w:rsid w:val="00B43550"/>
    <w:rsid w:val="00B60E09"/>
    <w:rsid w:val="00B86CEF"/>
    <w:rsid w:val="00B95636"/>
    <w:rsid w:val="00BC1C32"/>
    <w:rsid w:val="00BD1853"/>
    <w:rsid w:val="00BD430C"/>
    <w:rsid w:val="00BF3F4A"/>
    <w:rsid w:val="00C001B9"/>
    <w:rsid w:val="00C066DF"/>
    <w:rsid w:val="00C17EAF"/>
    <w:rsid w:val="00C3496D"/>
    <w:rsid w:val="00C36435"/>
    <w:rsid w:val="00C4682E"/>
    <w:rsid w:val="00C513FD"/>
    <w:rsid w:val="00C86BD8"/>
    <w:rsid w:val="00CA28F8"/>
    <w:rsid w:val="00CD344B"/>
    <w:rsid w:val="00CD6CE3"/>
    <w:rsid w:val="00CF3E37"/>
    <w:rsid w:val="00D20F35"/>
    <w:rsid w:val="00D22B03"/>
    <w:rsid w:val="00D46300"/>
    <w:rsid w:val="00D616FC"/>
    <w:rsid w:val="00D80B6C"/>
    <w:rsid w:val="00D85FAC"/>
    <w:rsid w:val="00D96F32"/>
    <w:rsid w:val="00DA21F3"/>
    <w:rsid w:val="00DD75E3"/>
    <w:rsid w:val="00E06B7B"/>
    <w:rsid w:val="00E10F95"/>
    <w:rsid w:val="00E31499"/>
    <w:rsid w:val="00E3564A"/>
    <w:rsid w:val="00E561B8"/>
    <w:rsid w:val="00E67EA9"/>
    <w:rsid w:val="00E77EA7"/>
    <w:rsid w:val="00E93534"/>
    <w:rsid w:val="00EA7F9A"/>
    <w:rsid w:val="00EB0436"/>
    <w:rsid w:val="00EC5FCD"/>
    <w:rsid w:val="00F112C8"/>
    <w:rsid w:val="00F22AFC"/>
    <w:rsid w:val="00F31D7F"/>
    <w:rsid w:val="00F42B4D"/>
    <w:rsid w:val="00FA2179"/>
    <w:rsid w:val="00FA217B"/>
    <w:rsid w:val="00FA4F01"/>
    <w:rsid w:val="00FB77DF"/>
    <w:rsid w:val="00FC4C51"/>
    <w:rsid w:val="00FD4936"/>
    <w:rsid w:val="00FF3C17"/>
    <w:rsid w:val="00FF4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Rubrik2">
    <w:name w:val="heading 2"/>
    <w:basedOn w:val="Normal"/>
    <w:next w:val="Normal"/>
    <w:qFormat/>
    <w:pPr>
      <w:keepNext/>
      <w:tabs>
        <w:tab w:val="left" w:pos="3119"/>
        <w:tab w:val="left" w:pos="6096"/>
      </w:tabs>
      <w:outlineLvl w:val="1"/>
    </w:pPr>
    <w:rPr>
      <w:b/>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pPr>
      <w:overflowPunct w:val="0"/>
      <w:autoSpaceDE w:val="0"/>
      <w:autoSpaceDN w:val="0"/>
      <w:adjustRightInd w:val="0"/>
      <w:spacing w:before="120" w:after="120"/>
      <w:textAlignment w:val="baseline"/>
    </w:pPr>
    <w:rPr>
      <w:noProof/>
      <w:sz w:val="24"/>
      <w:lang w:val="en-GB"/>
    </w:rPr>
  </w:style>
  <w:style w:type="paragraph" w:styleId="Brdtext2">
    <w:name w:val="Body Text 2"/>
    <w:basedOn w:val="Normal"/>
    <w:pPr>
      <w:spacing w:after="120" w:line="480" w:lineRule="auto"/>
    </w:pPr>
    <w:rPr>
      <w:sz w:val="24"/>
      <w:szCs w:val="24"/>
    </w:rPr>
  </w:style>
  <w:style w:type="character" w:styleId="Hyperlnk">
    <w:name w:val="Hyperlink"/>
    <w:basedOn w:val="Standardstycketeckensnitt"/>
    <w:rPr>
      <w:color w:val="0000FF"/>
      <w:u w:val="single"/>
    </w:rPr>
  </w:style>
  <w:style w:type="paragraph" w:styleId="Sidhuvud">
    <w:name w:val="header"/>
    <w:basedOn w:val="Normal"/>
    <w:pPr>
      <w:tabs>
        <w:tab w:val="center" w:pos="4536"/>
        <w:tab w:val="right" w:pos="9072"/>
      </w:tabs>
    </w:pPr>
  </w:style>
  <w:style w:type="paragraph" w:styleId="Dokumentversikt">
    <w:name w:val="Document Map"/>
    <w:basedOn w:val="Normal"/>
    <w:semiHidden/>
    <w:rsid w:val="00267278"/>
    <w:pPr>
      <w:shd w:val="clear" w:color="auto" w:fill="000080"/>
    </w:pPr>
    <w:rPr>
      <w:rFonts w:ascii="Tahoma" w:hAnsi="Tahoma" w:cs="Tahoma"/>
    </w:rPr>
  </w:style>
  <w:style w:type="table" w:styleId="Tabellrutnt">
    <w:name w:val="Table Grid"/>
    <w:basedOn w:val="Normaltabell"/>
    <w:uiPriority w:val="59"/>
    <w:rsid w:val="00F22AFC"/>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Rubrik2">
    <w:name w:val="heading 2"/>
    <w:basedOn w:val="Normal"/>
    <w:next w:val="Normal"/>
    <w:qFormat/>
    <w:pPr>
      <w:keepNext/>
      <w:tabs>
        <w:tab w:val="left" w:pos="3119"/>
        <w:tab w:val="left" w:pos="6096"/>
      </w:tabs>
      <w:outlineLvl w:val="1"/>
    </w:pPr>
    <w:rPr>
      <w:b/>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pPr>
      <w:overflowPunct w:val="0"/>
      <w:autoSpaceDE w:val="0"/>
      <w:autoSpaceDN w:val="0"/>
      <w:adjustRightInd w:val="0"/>
      <w:spacing w:before="120" w:after="120"/>
      <w:textAlignment w:val="baseline"/>
    </w:pPr>
    <w:rPr>
      <w:noProof/>
      <w:sz w:val="24"/>
      <w:lang w:val="en-GB"/>
    </w:rPr>
  </w:style>
  <w:style w:type="paragraph" w:styleId="Brdtext2">
    <w:name w:val="Body Text 2"/>
    <w:basedOn w:val="Normal"/>
    <w:pPr>
      <w:spacing w:after="120" w:line="480" w:lineRule="auto"/>
    </w:pPr>
    <w:rPr>
      <w:sz w:val="24"/>
      <w:szCs w:val="24"/>
    </w:rPr>
  </w:style>
  <w:style w:type="character" w:styleId="Hyperlnk">
    <w:name w:val="Hyperlink"/>
    <w:basedOn w:val="Standardstycketeckensnitt"/>
    <w:rPr>
      <w:color w:val="0000FF"/>
      <w:u w:val="single"/>
    </w:rPr>
  </w:style>
  <w:style w:type="paragraph" w:styleId="Sidhuvud">
    <w:name w:val="header"/>
    <w:basedOn w:val="Normal"/>
    <w:pPr>
      <w:tabs>
        <w:tab w:val="center" w:pos="4536"/>
        <w:tab w:val="right" w:pos="9072"/>
      </w:tabs>
    </w:pPr>
  </w:style>
  <w:style w:type="paragraph" w:styleId="Dokumentversikt">
    <w:name w:val="Document Map"/>
    <w:basedOn w:val="Normal"/>
    <w:semiHidden/>
    <w:rsid w:val="00267278"/>
    <w:pPr>
      <w:shd w:val="clear" w:color="auto" w:fill="000080"/>
    </w:pPr>
    <w:rPr>
      <w:rFonts w:ascii="Tahoma" w:hAnsi="Tahoma" w:cs="Tahoma"/>
    </w:rPr>
  </w:style>
  <w:style w:type="table" w:styleId="Tabellrutnt">
    <w:name w:val="Table Grid"/>
    <w:basedOn w:val="Normaltabell"/>
    <w:uiPriority w:val="59"/>
    <w:rsid w:val="00F22AFC"/>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eter.wannding@li.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0730-326513" TargetMode="External"/><Relationship Id="rId4" Type="http://schemas.openxmlformats.org/officeDocument/2006/relationships/settings" Target="settings.xml"/><Relationship Id="rId9" Type="http://schemas.openxmlformats.org/officeDocument/2006/relationships/hyperlink" Target="http://www.mynewsdesk.com/se/pressroom/livsmedelsforetagen__li"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363</Words>
  <Characters>2326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2004-12-29 / Anders Rydeman</vt:lpstr>
    </vt:vector>
  </TitlesOfParts>
  <Company>Svenskt Näringsliv</Company>
  <LinksUpToDate>false</LinksUpToDate>
  <CharactersWithSpaces>2684</CharactersWithSpaces>
  <SharedDoc>false</SharedDoc>
  <HLinks>
    <vt:vector size="6" baseType="variant">
      <vt:variant>
        <vt:i4>7864428</vt:i4>
      </vt:variant>
      <vt:variant>
        <vt:i4>0</vt:i4>
      </vt:variant>
      <vt:variant>
        <vt:i4>0</vt:i4>
      </vt:variant>
      <vt:variant>
        <vt:i4>5</vt:i4>
      </vt:variant>
      <vt:variant>
        <vt:lpwstr>http://www.regeringen.se/sb/d/1473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2004-12-29 / Anders Rydeman</dc:title>
  <dc:creator>Andersson, Ann-Charlotte</dc:creator>
  <cp:lastModifiedBy>Wannding, Peter</cp:lastModifiedBy>
  <cp:revision>8</cp:revision>
  <cp:lastPrinted>2012-12-04T16:14:00Z</cp:lastPrinted>
  <dcterms:created xsi:type="dcterms:W3CDTF">2012-12-04T15:39:00Z</dcterms:created>
  <dcterms:modified xsi:type="dcterms:W3CDTF">2012-12-05T07:49:00Z</dcterms:modified>
</cp:coreProperties>
</file>