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ED" w:rsidRPr="007C198C" w:rsidRDefault="00DA30ED" w:rsidP="00B7270B">
      <w:pPr>
        <w:pStyle w:val="Brdtext"/>
      </w:pPr>
    </w:p>
    <w:p w:rsidR="00493755" w:rsidRPr="007C198C" w:rsidRDefault="00493755" w:rsidP="00B7270B">
      <w:pPr>
        <w:pStyle w:val="Brdtext"/>
      </w:pPr>
    </w:p>
    <w:p w:rsidR="007C198C" w:rsidRDefault="007C198C" w:rsidP="007C198C">
      <w:pPr>
        <w:pStyle w:val="Rubrik2"/>
      </w:pPr>
      <w:bookmarkStart w:id="0" w:name="bmRubrik"/>
      <w:bookmarkStart w:id="1" w:name="bmStart"/>
      <w:bookmarkStart w:id="2" w:name="bmDate"/>
      <w:bookmarkEnd w:id="0"/>
      <w:bookmarkEnd w:id="1"/>
      <w:bookmarkEnd w:id="2"/>
      <w:r>
        <w:t xml:space="preserve">HSB </w:t>
      </w:r>
      <w:proofErr w:type="spellStart"/>
      <w:r>
        <w:t>ProjektPartners</w:t>
      </w:r>
      <w:proofErr w:type="spellEnd"/>
      <w:r>
        <w:t xml:space="preserve"> bokslutskommuniké för 2010 </w:t>
      </w:r>
    </w:p>
    <w:p w:rsidR="007C198C" w:rsidRPr="0082399D" w:rsidRDefault="007C198C" w:rsidP="007C198C"/>
    <w:p w:rsidR="007C198C" w:rsidRPr="00DA03D9" w:rsidRDefault="007C198C" w:rsidP="007C198C">
      <w:pPr>
        <w:pStyle w:val="7-Ingress"/>
        <w:numPr>
          <w:ilvl w:val="0"/>
          <w:numId w:val="6"/>
        </w:numPr>
        <w:spacing w:after="113"/>
        <w:rPr>
          <w:rFonts w:ascii="Times New Roman" w:hAnsi="Times New Roman" w:cs="Times New Roman"/>
          <w:b/>
          <w:color w:val="auto"/>
          <w:sz w:val="24"/>
          <w:szCs w:val="24"/>
        </w:rPr>
      </w:pPr>
      <w:r w:rsidRPr="00DA03D9">
        <w:rPr>
          <w:rFonts w:ascii="Times New Roman" w:hAnsi="Times New Roman" w:cs="Times New Roman"/>
          <w:b/>
          <w:color w:val="auto"/>
          <w:sz w:val="24"/>
          <w:szCs w:val="24"/>
        </w:rPr>
        <w:t>Tredubblad bostadsproduktion i förhållande till 2009</w:t>
      </w:r>
    </w:p>
    <w:p w:rsidR="007C198C" w:rsidRPr="00DA03D9" w:rsidRDefault="007C198C" w:rsidP="007C198C">
      <w:pPr>
        <w:pStyle w:val="7-Ingress"/>
        <w:numPr>
          <w:ilvl w:val="0"/>
          <w:numId w:val="6"/>
        </w:numPr>
        <w:spacing w:after="113"/>
        <w:rPr>
          <w:rFonts w:ascii="Times New Roman" w:hAnsi="Times New Roman" w:cs="Times New Roman"/>
          <w:b/>
          <w:color w:val="auto"/>
          <w:sz w:val="24"/>
          <w:szCs w:val="24"/>
        </w:rPr>
      </w:pPr>
      <w:r w:rsidRPr="00DA03D9">
        <w:rPr>
          <w:rFonts w:ascii="Times New Roman" w:hAnsi="Times New Roman" w:cs="Times New Roman"/>
          <w:b/>
          <w:color w:val="auto"/>
          <w:sz w:val="24"/>
          <w:szCs w:val="24"/>
        </w:rPr>
        <w:t xml:space="preserve">Årets resultat uppgick till 80,1 (26,1) </w:t>
      </w:r>
      <w:r w:rsidRPr="00DA03D9">
        <w:rPr>
          <w:rFonts w:ascii="Times New Roman" w:hAnsi="Times New Roman" w:cs="Times New Roman"/>
          <w:b/>
          <w:color w:val="auto"/>
          <w:sz w:val="24"/>
          <w:szCs w:val="24"/>
        </w:rPr>
        <w:softHyphen/>
        <w:t xml:space="preserve">miljoner kronor. </w:t>
      </w:r>
    </w:p>
    <w:p w:rsidR="007C198C" w:rsidRPr="00DA03D9" w:rsidRDefault="007C198C" w:rsidP="007C198C">
      <w:pPr>
        <w:pStyle w:val="7-Ingress"/>
        <w:numPr>
          <w:ilvl w:val="0"/>
          <w:numId w:val="6"/>
        </w:numPr>
        <w:spacing w:after="113"/>
        <w:rPr>
          <w:rFonts w:ascii="Times New Roman" w:hAnsi="Times New Roman" w:cs="Times New Roman"/>
          <w:b/>
          <w:color w:val="auto"/>
          <w:sz w:val="24"/>
          <w:szCs w:val="24"/>
        </w:rPr>
      </w:pPr>
      <w:r w:rsidRPr="00DA03D9">
        <w:rPr>
          <w:rFonts w:ascii="Times New Roman" w:hAnsi="Times New Roman" w:cs="Times New Roman"/>
          <w:b/>
          <w:color w:val="auto"/>
          <w:sz w:val="24"/>
          <w:szCs w:val="24"/>
        </w:rPr>
        <w:t>Omsättningen ökade med 20 procent till 782,9 (653,2) miljoner kronor.</w:t>
      </w:r>
    </w:p>
    <w:p w:rsidR="007C198C" w:rsidRPr="00DA03D9" w:rsidRDefault="007C198C" w:rsidP="007C198C">
      <w:pPr>
        <w:pStyle w:val="Rubrik3"/>
        <w:keepLines w:val="0"/>
        <w:numPr>
          <w:ilvl w:val="0"/>
          <w:numId w:val="6"/>
        </w:numPr>
        <w:spacing w:line="240" w:lineRule="auto"/>
        <w:rPr>
          <w:rFonts w:ascii="Times New Roman" w:hAnsi="Times New Roman" w:cs="Times New Roman"/>
          <w:color w:val="auto"/>
          <w:sz w:val="24"/>
          <w:szCs w:val="24"/>
        </w:rPr>
      </w:pPr>
      <w:r w:rsidRPr="00DA03D9">
        <w:rPr>
          <w:rFonts w:ascii="Times New Roman" w:hAnsi="Times New Roman" w:cs="Times New Roman"/>
          <w:color w:val="auto"/>
          <w:sz w:val="24"/>
          <w:szCs w:val="24"/>
        </w:rPr>
        <w:t>10 000 lägenheter i projektportföljen tom 2015</w:t>
      </w:r>
    </w:p>
    <w:p w:rsidR="007C198C" w:rsidRPr="00DA03D9" w:rsidRDefault="007C198C" w:rsidP="007C198C">
      <w:pPr>
        <w:pStyle w:val="Rubrik3"/>
        <w:keepLines w:val="0"/>
        <w:numPr>
          <w:ilvl w:val="0"/>
          <w:numId w:val="6"/>
        </w:numPr>
        <w:spacing w:line="240" w:lineRule="auto"/>
        <w:rPr>
          <w:color w:val="auto"/>
          <w:sz w:val="24"/>
          <w:szCs w:val="24"/>
        </w:rPr>
      </w:pPr>
      <w:r w:rsidRPr="00DA03D9">
        <w:rPr>
          <w:rFonts w:ascii="Times New Roman" w:hAnsi="Times New Roman" w:cs="Times New Roman"/>
          <w:color w:val="auto"/>
          <w:sz w:val="24"/>
          <w:szCs w:val="24"/>
        </w:rPr>
        <w:t>HSB skapar det framtida bosparandet.</w:t>
      </w:r>
    </w:p>
    <w:p w:rsidR="007C198C" w:rsidRPr="00DA03D9" w:rsidRDefault="007C198C" w:rsidP="007C198C"/>
    <w:p w:rsidR="007C198C" w:rsidRPr="00DA03D9" w:rsidRDefault="007C198C" w:rsidP="007C198C">
      <w:pPr>
        <w:pStyle w:val="1-Brd"/>
        <w:rPr>
          <w:rFonts w:ascii="Times New Roman" w:hAnsi="Times New Roman"/>
          <w:color w:val="auto"/>
          <w:sz w:val="24"/>
          <w:szCs w:val="24"/>
        </w:rPr>
      </w:pPr>
      <w:r w:rsidRPr="00DA03D9">
        <w:rPr>
          <w:rFonts w:ascii="Times New Roman" w:hAnsi="Times New Roman"/>
          <w:color w:val="auto"/>
          <w:sz w:val="24"/>
          <w:szCs w:val="24"/>
        </w:rPr>
        <w:t xml:space="preserve">För </w:t>
      </w:r>
      <w:proofErr w:type="spellStart"/>
      <w:r w:rsidRPr="00DA03D9">
        <w:rPr>
          <w:rFonts w:ascii="Times New Roman" w:hAnsi="Times New Roman"/>
          <w:color w:val="auto"/>
          <w:sz w:val="24"/>
          <w:szCs w:val="24"/>
        </w:rPr>
        <w:t>HSBs</w:t>
      </w:r>
      <w:proofErr w:type="spellEnd"/>
      <w:r w:rsidRPr="00DA03D9">
        <w:rPr>
          <w:rFonts w:ascii="Times New Roman" w:hAnsi="Times New Roman"/>
          <w:color w:val="auto"/>
          <w:sz w:val="24"/>
          <w:szCs w:val="24"/>
        </w:rPr>
        <w:t xml:space="preserve"> del tredubblades antalet byggstarter i förhållande till föregående år. Detta kunde ske bland annat genom att HSB </w:t>
      </w:r>
      <w:proofErr w:type="spellStart"/>
      <w:r w:rsidRPr="00DA03D9">
        <w:rPr>
          <w:rFonts w:ascii="Times New Roman" w:hAnsi="Times New Roman"/>
          <w:color w:val="auto"/>
          <w:sz w:val="24"/>
          <w:szCs w:val="24"/>
        </w:rPr>
        <w:t>ProjektPartner</w:t>
      </w:r>
      <w:proofErr w:type="spellEnd"/>
      <w:r w:rsidRPr="00DA03D9">
        <w:rPr>
          <w:rFonts w:ascii="Times New Roman" w:hAnsi="Times New Roman"/>
          <w:color w:val="auto"/>
          <w:sz w:val="24"/>
          <w:szCs w:val="24"/>
        </w:rPr>
        <w:t xml:space="preserve"> kunde komma igång snabbt efter finanskrisen, då bolaget valt att behålla sina resurser och därmed kunnat göra ett stort antal projekt klara för byggstart. HSB </w:t>
      </w:r>
      <w:proofErr w:type="spellStart"/>
      <w:r w:rsidRPr="00DA03D9">
        <w:rPr>
          <w:rFonts w:ascii="Times New Roman" w:hAnsi="Times New Roman"/>
          <w:color w:val="auto"/>
          <w:sz w:val="24"/>
          <w:szCs w:val="24"/>
        </w:rPr>
        <w:t>ProjektPartner</w:t>
      </w:r>
      <w:proofErr w:type="spellEnd"/>
      <w:r w:rsidRPr="00DA03D9">
        <w:rPr>
          <w:rFonts w:ascii="Times New Roman" w:hAnsi="Times New Roman"/>
          <w:color w:val="auto"/>
          <w:sz w:val="24"/>
          <w:szCs w:val="24"/>
        </w:rPr>
        <w:t xml:space="preserve"> påbörjade under året i partnerskap med enskilda HSB-föreningar 696 (208) lägenheter, vilket motsvarar 82 (64) procent av </w:t>
      </w:r>
      <w:proofErr w:type="spellStart"/>
      <w:r w:rsidRPr="00DA03D9">
        <w:rPr>
          <w:rFonts w:ascii="Times New Roman" w:hAnsi="Times New Roman"/>
          <w:color w:val="auto"/>
          <w:sz w:val="24"/>
          <w:szCs w:val="24"/>
        </w:rPr>
        <w:t>HSBs</w:t>
      </w:r>
      <w:proofErr w:type="spellEnd"/>
      <w:r w:rsidRPr="00DA03D9">
        <w:rPr>
          <w:rFonts w:ascii="Times New Roman" w:hAnsi="Times New Roman"/>
          <w:color w:val="auto"/>
          <w:sz w:val="24"/>
          <w:szCs w:val="24"/>
        </w:rPr>
        <w:t xml:space="preserve"> samlade bostadsproduktion och i 92 (82) procent av bostadsrättsproduktionen. </w:t>
      </w:r>
    </w:p>
    <w:p w:rsidR="007C198C" w:rsidRPr="00DA03D9" w:rsidRDefault="007C198C" w:rsidP="007C198C">
      <w:pPr>
        <w:tabs>
          <w:tab w:val="left" w:pos="290"/>
        </w:tabs>
        <w:autoSpaceDE w:val="0"/>
        <w:autoSpaceDN w:val="0"/>
        <w:adjustRightInd w:val="0"/>
        <w:spacing w:line="240" w:lineRule="atLeast"/>
        <w:ind w:firstLine="283"/>
        <w:jc w:val="both"/>
        <w:textAlignment w:val="center"/>
        <w:rPr>
          <w:rFonts w:ascii="NewBaskervilleStd-Roman" w:hAnsi="NewBaskervilleStd-Roman" w:cs="NewBaskervilleStd-Roman"/>
        </w:rPr>
      </w:pPr>
      <w:r w:rsidRPr="00DA03D9">
        <w:rPr>
          <w:rFonts w:ascii="NewBaskervilleStd-Roman" w:hAnsi="NewBaskervilleStd-Roman" w:cs="NewBaskervilleStd-Roman"/>
        </w:rPr>
        <w:t xml:space="preserve"> </w:t>
      </w:r>
    </w:p>
    <w:p w:rsidR="007C198C" w:rsidRPr="00DA03D9" w:rsidRDefault="007C198C" w:rsidP="007C198C">
      <w:pPr>
        <w:tabs>
          <w:tab w:val="left" w:pos="290"/>
        </w:tabs>
        <w:autoSpaceDE w:val="0"/>
        <w:autoSpaceDN w:val="0"/>
        <w:adjustRightInd w:val="0"/>
        <w:spacing w:line="240" w:lineRule="atLeast"/>
        <w:jc w:val="both"/>
        <w:textAlignment w:val="center"/>
      </w:pPr>
      <w:r w:rsidRPr="00DA03D9">
        <w:t xml:space="preserve">Den höga takt i försäljningen av HSB-lägenheter som i februari 2009 avlöste stiltjen under hösten 2008 har fortsatt under 2010. HSB </w:t>
      </w:r>
      <w:proofErr w:type="spellStart"/>
      <w:r w:rsidRPr="00DA03D9">
        <w:t>ProjektPartner</w:t>
      </w:r>
      <w:proofErr w:type="spellEnd"/>
      <w:r w:rsidRPr="00DA03D9">
        <w:t xml:space="preserve"> sålde under året sammanlagt 457 (457) lägenheter. Vid utgången av 2010 fanns hos HSB </w:t>
      </w:r>
      <w:proofErr w:type="spellStart"/>
      <w:r w:rsidRPr="00DA03D9">
        <w:t>ProjektPartner</w:t>
      </w:r>
      <w:proofErr w:type="spellEnd"/>
      <w:r w:rsidRPr="00DA03D9">
        <w:t xml:space="preserve"> 17 (22) oplacerade färdigställda lägenheter och 165 (106) osålda lägenheter i den pågående produktionen, totalt 182 (128).</w:t>
      </w:r>
    </w:p>
    <w:p w:rsidR="007C198C" w:rsidRPr="00DA03D9" w:rsidRDefault="007C198C" w:rsidP="007C198C">
      <w:pPr>
        <w:tabs>
          <w:tab w:val="left" w:pos="290"/>
        </w:tabs>
        <w:autoSpaceDE w:val="0"/>
        <w:autoSpaceDN w:val="0"/>
        <w:adjustRightInd w:val="0"/>
        <w:spacing w:line="240" w:lineRule="atLeast"/>
        <w:jc w:val="both"/>
        <w:textAlignment w:val="center"/>
      </w:pPr>
    </w:p>
    <w:p w:rsidR="007C198C" w:rsidRPr="00DA03D9" w:rsidRDefault="007C198C" w:rsidP="007C198C">
      <w:pPr>
        <w:tabs>
          <w:tab w:val="left" w:pos="290"/>
        </w:tabs>
        <w:autoSpaceDE w:val="0"/>
        <w:autoSpaceDN w:val="0"/>
        <w:adjustRightInd w:val="0"/>
        <w:spacing w:line="240" w:lineRule="atLeast"/>
        <w:jc w:val="both"/>
        <w:textAlignment w:val="center"/>
      </w:pPr>
      <w:r w:rsidRPr="00DA03D9">
        <w:t xml:space="preserve">Den genomsnittliga produktionskostnaden i </w:t>
      </w:r>
      <w:proofErr w:type="spellStart"/>
      <w:r w:rsidRPr="00DA03D9">
        <w:t>HSBs</w:t>
      </w:r>
      <w:proofErr w:type="spellEnd"/>
      <w:r w:rsidRPr="00DA03D9">
        <w:t xml:space="preserve"> samlade produktion ökade 2010 med hela 26 procent i förhållande till föregående år, från 24 800 kr/m2 2009 till 31 300 2010. Då kostnaden dessförinnan minskat med 14 procent två år i rad, innebär ökningen i stort en återgång till den nivå som gällde 2007. Ökningen beror i huvudsak på att en större andel av bostäderna var belägna inom storstadsregionerna samt att en lägre andel var hyresrätter.</w:t>
      </w:r>
    </w:p>
    <w:p w:rsidR="007C198C" w:rsidRPr="00DA03D9" w:rsidRDefault="007C198C" w:rsidP="007C198C">
      <w:pPr>
        <w:tabs>
          <w:tab w:val="left" w:pos="290"/>
        </w:tabs>
        <w:autoSpaceDE w:val="0"/>
        <w:autoSpaceDN w:val="0"/>
        <w:adjustRightInd w:val="0"/>
        <w:spacing w:line="240" w:lineRule="atLeast"/>
        <w:jc w:val="both"/>
        <w:textAlignment w:val="center"/>
        <w:rPr>
          <w:rFonts w:ascii="NewBaskervilleStd-Roman" w:hAnsi="NewBaskervilleStd-Roman" w:cs="NewBaskervilleStd-Roman"/>
        </w:rPr>
      </w:pPr>
    </w:p>
    <w:p w:rsidR="007C198C" w:rsidRPr="00DA03D9" w:rsidRDefault="007C198C" w:rsidP="007C198C"/>
    <w:p w:rsidR="007C198C" w:rsidRPr="00DA03D9" w:rsidRDefault="007C198C" w:rsidP="007C198C">
      <w:pPr>
        <w:pStyle w:val="1-Brd-kopia"/>
        <w:rPr>
          <w:rFonts w:ascii="Times New Roman" w:hAnsi="Times New Roman" w:cs="Times New Roman"/>
          <w:color w:val="auto"/>
          <w:sz w:val="24"/>
          <w:szCs w:val="24"/>
        </w:rPr>
      </w:pPr>
    </w:p>
    <w:p w:rsidR="007C198C" w:rsidRPr="00DA03D9" w:rsidRDefault="007C198C" w:rsidP="007C198C">
      <w:pPr>
        <w:tabs>
          <w:tab w:val="left" w:pos="290"/>
        </w:tabs>
        <w:autoSpaceDE w:val="0"/>
        <w:autoSpaceDN w:val="0"/>
        <w:adjustRightInd w:val="0"/>
        <w:spacing w:line="240" w:lineRule="atLeast"/>
        <w:textAlignment w:val="center"/>
        <w:rPr>
          <w:b/>
        </w:rPr>
      </w:pPr>
      <w:r w:rsidRPr="00DA03D9">
        <w:rPr>
          <w:b/>
        </w:rPr>
        <w:t>Koncernen</w:t>
      </w:r>
    </w:p>
    <w:p w:rsidR="007C198C" w:rsidRPr="00DA03D9" w:rsidRDefault="007C198C" w:rsidP="007C198C">
      <w:pPr>
        <w:pStyle w:val="1-Brd-kopia"/>
        <w:rPr>
          <w:rFonts w:ascii="Times New Roman" w:hAnsi="Times New Roman" w:cs="Times New Roman"/>
          <w:color w:val="auto"/>
          <w:sz w:val="24"/>
          <w:szCs w:val="24"/>
        </w:rPr>
      </w:pPr>
      <w:r w:rsidRPr="00DA03D9">
        <w:rPr>
          <w:rFonts w:ascii="Times New Roman" w:hAnsi="Times New Roman" w:cs="Times New Roman"/>
          <w:color w:val="auto"/>
          <w:sz w:val="24"/>
          <w:szCs w:val="24"/>
        </w:rPr>
        <w:lastRenderedPageBreak/>
        <w:t xml:space="preserve">Årets nettoomsättning uppgick till 782,9 Mkr (653,2) Mkr. Ökningen om 129,7 Mkr beror främst på ökad omsättning inom affärsområde Produktion med 172,5 Mkr. Resultat efter finansiella intäkter och kostnader uppgick till 81,9 (24,8) Mkr. </w:t>
      </w:r>
    </w:p>
    <w:p w:rsidR="007C198C" w:rsidRPr="00DA03D9" w:rsidRDefault="007C198C" w:rsidP="007C198C">
      <w:pPr>
        <w:pStyle w:val="1-Brd-kopia"/>
        <w:rPr>
          <w:rFonts w:ascii="Times New Roman" w:hAnsi="Times New Roman" w:cs="Times New Roman"/>
          <w:color w:val="auto"/>
          <w:sz w:val="24"/>
          <w:szCs w:val="24"/>
        </w:rPr>
      </w:pPr>
    </w:p>
    <w:p w:rsidR="007C198C" w:rsidRPr="00DA03D9" w:rsidRDefault="007C198C" w:rsidP="007C198C">
      <w:r w:rsidRPr="00DA03D9">
        <w:t>Soliditeten ökade och uppgår till 22,6 (21,5) %. Exkluderas HSB Finans HB uppgår soliditeten till 48,3 (45,2) %.  Medelantalet anställda uppgick till 48 (63) medarbetare.</w:t>
      </w:r>
    </w:p>
    <w:p w:rsidR="007C198C" w:rsidRDefault="007C198C" w:rsidP="007C198C">
      <w:pPr>
        <w:pStyle w:val="Rubrik3"/>
        <w:rPr>
          <w:rFonts w:ascii="Times New Roman" w:hAnsi="Times New Roman" w:cs="Times New Roman"/>
          <w:color w:val="auto"/>
          <w:sz w:val="24"/>
          <w:szCs w:val="24"/>
        </w:rPr>
      </w:pPr>
    </w:p>
    <w:p w:rsidR="007C198C" w:rsidRPr="00DA03D9" w:rsidRDefault="007C198C" w:rsidP="007C198C">
      <w:pPr>
        <w:pStyle w:val="Rubrik3"/>
        <w:rPr>
          <w:color w:val="auto"/>
          <w:sz w:val="24"/>
          <w:szCs w:val="24"/>
        </w:rPr>
      </w:pPr>
      <w:r w:rsidRPr="00DA03D9">
        <w:rPr>
          <w:rFonts w:ascii="Times New Roman" w:hAnsi="Times New Roman" w:cs="Times New Roman"/>
          <w:color w:val="auto"/>
          <w:sz w:val="24"/>
          <w:szCs w:val="24"/>
        </w:rPr>
        <w:t>Ökad bostadsproduktion</w:t>
      </w:r>
    </w:p>
    <w:p w:rsidR="007C198C" w:rsidRPr="00DA03D9" w:rsidRDefault="007C198C" w:rsidP="007C198C">
      <w:pPr>
        <w:pStyle w:val="xl24"/>
        <w:spacing w:before="0" w:beforeAutospacing="0" w:after="0" w:afterAutospacing="0"/>
        <w:rPr>
          <w:rFonts w:ascii="Times New Roman" w:hAnsi="Times New Roman" w:cs="Times New Roman"/>
        </w:rPr>
      </w:pPr>
      <w:r w:rsidRPr="00DA03D9">
        <w:rPr>
          <w:rFonts w:ascii="Times New Roman" w:hAnsi="Times New Roman" w:cs="Times New Roman"/>
        </w:rPr>
        <w:t xml:space="preserve">Affärsområde Produktion har 2010 haft ökade produktionsvolymer. </w:t>
      </w:r>
      <w:r w:rsidRPr="00DA03D9">
        <w:rPr>
          <w:rFonts w:ascii="Times New Roman" w:hAnsi="Times New Roman" w:cs="Times New Roman"/>
          <w:iCs/>
        </w:rPr>
        <w:t xml:space="preserve">Nettoomsättningen har ökat med 172,5 Mkr och uppgick till 700,4 (527,9)Mkr. </w:t>
      </w:r>
      <w:r w:rsidRPr="00DA03D9">
        <w:rPr>
          <w:rFonts w:ascii="Times New Roman" w:hAnsi="Times New Roman" w:cs="Times New Roman"/>
        </w:rPr>
        <w:t>Resultatet efter finansiella poster ökade med 89,8 mkr till 78,7 (-11,1) mkr.</w:t>
      </w:r>
    </w:p>
    <w:p w:rsidR="007C198C" w:rsidRPr="00DA03D9" w:rsidRDefault="007C198C" w:rsidP="007C198C"/>
    <w:p w:rsidR="007C198C" w:rsidRPr="00DA03D9" w:rsidRDefault="007C198C" w:rsidP="007C198C">
      <w:pPr>
        <w:tabs>
          <w:tab w:val="left" w:pos="290"/>
        </w:tabs>
        <w:autoSpaceDE w:val="0"/>
        <w:autoSpaceDN w:val="0"/>
        <w:adjustRightInd w:val="0"/>
        <w:spacing w:line="240" w:lineRule="atLeast"/>
        <w:jc w:val="both"/>
        <w:textAlignment w:val="center"/>
      </w:pPr>
      <w:r w:rsidRPr="00DA03D9">
        <w:t xml:space="preserve">Under 2011 förväntas omsättningen öka ytterligare inom affärsområdet Produktion. HSB </w:t>
      </w:r>
      <w:proofErr w:type="spellStart"/>
      <w:r w:rsidRPr="00DA03D9">
        <w:t>ProjektPartners</w:t>
      </w:r>
      <w:proofErr w:type="spellEnd"/>
      <w:r w:rsidRPr="00DA03D9">
        <w:t xml:space="preserve"> projektportfölj inklusive bolagssamarbeten med påbörjande fram till och med 2015 innehåller mer än 10</w:t>
      </w:r>
      <w:r w:rsidRPr="00DA03D9">
        <w:rPr>
          <w:rFonts w:eastAsia="MS Mincho" w:hAnsi="MS Mincho"/>
        </w:rPr>
        <w:t> </w:t>
      </w:r>
      <w:r w:rsidRPr="00DA03D9">
        <w:t>000 lägenheter. Cirka 75 % av lägenheterna kommer att produceras i samverkan med enskilda HSB-föreningar.</w:t>
      </w:r>
    </w:p>
    <w:p w:rsidR="007C198C" w:rsidRPr="00DA03D9" w:rsidRDefault="007C198C" w:rsidP="007C198C"/>
    <w:p w:rsidR="007C198C" w:rsidRPr="00DA03D9" w:rsidRDefault="007C198C" w:rsidP="007C198C">
      <w:pPr>
        <w:pStyle w:val="Rubrik3"/>
        <w:rPr>
          <w:rFonts w:ascii="Times New Roman" w:hAnsi="Times New Roman" w:cs="Times New Roman"/>
          <w:color w:val="auto"/>
          <w:sz w:val="24"/>
          <w:szCs w:val="24"/>
        </w:rPr>
      </w:pPr>
      <w:r w:rsidRPr="00DA03D9">
        <w:rPr>
          <w:rFonts w:ascii="Times New Roman" w:hAnsi="Times New Roman" w:cs="Times New Roman"/>
          <w:color w:val="auto"/>
          <w:sz w:val="24"/>
          <w:szCs w:val="24"/>
        </w:rPr>
        <w:t>Skapandet av det framtida bosparandet</w:t>
      </w:r>
    </w:p>
    <w:p w:rsidR="007C198C" w:rsidRPr="00DA03D9" w:rsidRDefault="007C198C" w:rsidP="007C198C">
      <w:pPr>
        <w:pStyle w:val="1-Brd"/>
        <w:rPr>
          <w:rFonts w:ascii="Times New Roman" w:hAnsi="Times New Roman"/>
          <w:color w:val="auto"/>
          <w:sz w:val="24"/>
          <w:szCs w:val="24"/>
        </w:rPr>
      </w:pPr>
      <w:r w:rsidRPr="00DA03D9">
        <w:rPr>
          <w:rFonts w:ascii="Times New Roman" w:hAnsi="Times New Roman"/>
          <w:color w:val="auto"/>
          <w:sz w:val="24"/>
          <w:szCs w:val="24"/>
        </w:rPr>
        <w:t xml:space="preserve">HSB Finans samarbetar i bosparandet med </w:t>
      </w:r>
      <w:proofErr w:type="spellStart"/>
      <w:r w:rsidRPr="00DA03D9">
        <w:rPr>
          <w:rFonts w:ascii="Times New Roman" w:hAnsi="Times New Roman"/>
          <w:color w:val="auto"/>
          <w:sz w:val="24"/>
          <w:szCs w:val="24"/>
        </w:rPr>
        <w:t>Swedbank</w:t>
      </w:r>
      <w:proofErr w:type="spellEnd"/>
      <w:r w:rsidRPr="00DA03D9">
        <w:rPr>
          <w:rFonts w:ascii="Times New Roman" w:hAnsi="Times New Roman"/>
          <w:color w:val="auto"/>
          <w:sz w:val="24"/>
          <w:szCs w:val="24"/>
        </w:rPr>
        <w:t>. Målet är att kunna</w:t>
      </w:r>
      <w:r w:rsidRPr="00DA03D9">
        <w:rPr>
          <w:rFonts w:ascii="Times New Roman" w:hAnsi="Times New Roman"/>
          <w:color w:val="auto"/>
          <w:sz w:val="24"/>
          <w:szCs w:val="24"/>
        </w:rPr>
        <w:softHyphen/>
        <w:t xml:space="preserve"> erbjuda </w:t>
      </w:r>
      <w:proofErr w:type="spellStart"/>
      <w:r w:rsidRPr="00DA03D9">
        <w:rPr>
          <w:rFonts w:ascii="Times New Roman" w:hAnsi="Times New Roman"/>
          <w:color w:val="auto"/>
          <w:sz w:val="24"/>
          <w:szCs w:val="24"/>
        </w:rPr>
        <w:t>HSBs</w:t>
      </w:r>
      <w:proofErr w:type="spellEnd"/>
      <w:r w:rsidRPr="00DA03D9">
        <w:rPr>
          <w:rFonts w:ascii="Times New Roman" w:hAnsi="Times New Roman"/>
          <w:color w:val="auto"/>
          <w:sz w:val="24"/>
          <w:szCs w:val="24"/>
        </w:rPr>
        <w:t xml:space="preserve"> bosparare god service,</w:t>
      </w:r>
      <w:r w:rsidRPr="00DA03D9">
        <w:rPr>
          <w:rFonts w:ascii="Times New Roman" w:hAnsi="Times New Roman"/>
          <w:color w:val="auto"/>
          <w:sz w:val="24"/>
          <w:szCs w:val="24"/>
        </w:rPr>
        <w:softHyphen/>
        <w:t xml:space="preserve"> konkurrenskraftiga produkter och ett sparande med sammantaget bättre villkor än vad som annars skulle vara möjligt. Avtalet med </w:t>
      </w:r>
      <w:proofErr w:type="spellStart"/>
      <w:r w:rsidRPr="00DA03D9">
        <w:rPr>
          <w:rFonts w:ascii="Times New Roman" w:hAnsi="Times New Roman"/>
          <w:color w:val="auto"/>
          <w:sz w:val="24"/>
          <w:szCs w:val="24"/>
        </w:rPr>
        <w:t>Swedbank</w:t>
      </w:r>
      <w:proofErr w:type="spellEnd"/>
      <w:r w:rsidRPr="00DA03D9">
        <w:rPr>
          <w:rFonts w:ascii="Times New Roman" w:hAnsi="Times New Roman"/>
          <w:color w:val="auto"/>
          <w:sz w:val="24"/>
          <w:szCs w:val="24"/>
        </w:rPr>
        <w:t xml:space="preserve"> löper ut den 31 december 2012. Därför genomför HSB ett stort projekt som omfattar en noggrann undersökning och analys av hur bosparandet ska se ut i framtiden. </w:t>
      </w:r>
    </w:p>
    <w:p w:rsidR="007C198C" w:rsidRPr="00DA03D9" w:rsidRDefault="007C198C" w:rsidP="007C198C"/>
    <w:p w:rsidR="007C198C" w:rsidRPr="00DA03D9" w:rsidRDefault="007C198C" w:rsidP="007C198C">
      <w:pPr>
        <w:pStyle w:val="2-Brdind"/>
        <w:ind w:firstLine="0"/>
        <w:rPr>
          <w:rFonts w:ascii="Times New Roman" w:hAnsi="Times New Roman"/>
          <w:color w:val="auto"/>
          <w:sz w:val="24"/>
          <w:szCs w:val="24"/>
        </w:rPr>
      </w:pPr>
      <w:r w:rsidRPr="00DA03D9">
        <w:rPr>
          <w:rFonts w:ascii="Times New Roman" w:hAnsi="Times New Roman"/>
          <w:color w:val="auto"/>
          <w:sz w:val="24"/>
          <w:szCs w:val="24"/>
        </w:rPr>
        <w:t>I dagsläget finns tre olika produkter för bosparande i HSB. Dessa är Bosparkonto, Fasträntekonto, och SPAX (aktieindexobligation). Under 2010 ökade det sammanlagda bosparandet med 99 mkr till 2</w:t>
      </w:r>
      <w:r w:rsidRPr="00DA03D9">
        <w:rPr>
          <w:rFonts w:ascii="Times New Roman" w:eastAsia="MS Mincho" w:hAnsi="MS Mincho"/>
          <w:color w:val="auto"/>
          <w:sz w:val="24"/>
          <w:szCs w:val="24"/>
        </w:rPr>
        <w:t> </w:t>
      </w:r>
      <w:r w:rsidRPr="00DA03D9">
        <w:rPr>
          <w:rFonts w:ascii="Times New Roman" w:hAnsi="Times New Roman"/>
          <w:color w:val="auto"/>
          <w:sz w:val="24"/>
          <w:szCs w:val="24"/>
        </w:rPr>
        <w:t>475 mkr varav saldot på bosparkontot ökade med 105 mkr till 2</w:t>
      </w:r>
      <w:r w:rsidRPr="00DA03D9">
        <w:rPr>
          <w:rFonts w:ascii="Times New Roman" w:eastAsia="MS Mincho" w:hAnsi="MS Mincho"/>
          <w:color w:val="auto"/>
          <w:sz w:val="24"/>
          <w:szCs w:val="24"/>
        </w:rPr>
        <w:t> </w:t>
      </w:r>
      <w:r w:rsidRPr="00DA03D9">
        <w:rPr>
          <w:rFonts w:ascii="Times New Roman" w:hAnsi="Times New Roman"/>
          <w:color w:val="auto"/>
          <w:sz w:val="24"/>
          <w:szCs w:val="24"/>
        </w:rPr>
        <w:t>171 mkr. Antal bosparare minskade med 780 st. och uppgick 2010-12-31 till 98</w:t>
      </w:r>
      <w:r w:rsidRPr="00DA03D9">
        <w:rPr>
          <w:rFonts w:ascii="Times New Roman" w:eastAsia="MS Mincho" w:hAnsi="MS Mincho"/>
          <w:color w:val="auto"/>
          <w:sz w:val="24"/>
          <w:szCs w:val="24"/>
        </w:rPr>
        <w:t> </w:t>
      </w:r>
      <w:r w:rsidRPr="00DA03D9">
        <w:rPr>
          <w:rFonts w:ascii="Times New Roman" w:hAnsi="Times New Roman"/>
          <w:color w:val="auto"/>
          <w:sz w:val="24"/>
          <w:szCs w:val="24"/>
        </w:rPr>
        <w:t>840 st.</w:t>
      </w:r>
    </w:p>
    <w:p w:rsidR="007C198C" w:rsidRPr="00DA03D9" w:rsidRDefault="007C198C" w:rsidP="007C198C"/>
    <w:p w:rsidR="007C198C" w:rsidRPr="00DA03D9" w:rsidRDefault="007C198C" w:rsidP="007C198C">
      <w:r w:rsidRPr="00DA03D9">
        <w:t xml:space="preserve">Affärsområde Finans redovisar ett resultat efter finansiella poster på 11,3 (30,5) mkr varav 9,8 (0,6) mkr avser återvunna osäkra krediter inom </w:t>
      </w:r>
      <w:proofErr w:type="spellStart"/>
      <w:r w:rsidRPr="00DA03D9">
        <w:t>BoStocken</w:t>
      </w:r>
      <w:proofErr w:type="spellEnd"/>
      <w:r w:rsidRPr="00DA03D9">
        <w:t xml:space="preserve"> AB. HSB Finans HB redovisas ett rörelseresultat på 4,5 (34,2) mkr. Förklaring till det lägre årsresultatet är framförallt det låga ränteläget. </w:t>
      </w:r>
    </w:p>
    <w:p w:rsidR="007C198C" w:rsidRPr="00DA03D9" w:rsidRDefault="007C198C" w:rsidP="007C198C"/>
    <w:p w:rsidR="007C198C" w:rsidRPr="00DA03D9" w:rsidRDefault="007C198C" w:rsidP="007C198C">
      <w:pPr>
        <w:pStyle w:val="7-Ingress"/>
        <w:rPr>
          <w:rFonts w:ascii="Times New Roman" w:hAnsi="Times New Roman" w:cs="Times New Roman"/>
          <w:b/>
          <w:color w:val="auto"/>
          <w:sz w:val="24"/>
          <w:szCs w:val="24"/>
        </w:rPr>
      </w:pPr>
      <w:r>
        <w:rPr>
          <w:rFonts w:ascii="Times New Roman" w:hAnsi="Times New Roman" w:cs="Times New Roman"/>
          <w:b/>
          <w:color w:val="auto"/>
          <w:sz w:val="24"/>
          <w:szCs w:val="24"/>
        </w:rPr>
        <w:t xml:space="preserve">Beskrivning av HSB </w:t>
      </w:r>
      <w:proofErr w:type="spellStart"/>
      <w:r>
        <w:rPr>
          <w:rFonts w:ascii="Times New Roman" w:hAnsi="Times New Roman" w:cs="Times New Roman"/>
          <w:b/>
          <w:color w:val="auto"/>
          <w:sz w:val="24"/>
          <w:szCs w:val="24"/>
        </w:rPr>
        <w:t>ProjektPartner</w:t>
      </w:r>
      <w:proofErr w:type="spellEnd"/>
    </w:p>
    <w:p w:rsidR="007C198C" w:rsidRPr="00DA03D9" w:rsidRDefault="007C198C" w:rsidP="007C198C">
      <w:pPr>
        <w:pStyle w:val="7-Ingress"/>
        <w:rPr>
          <w:rFonts w:ascii="Times New Roman" w:hAnsi="Times New Roman" w:cs="Times New Roman"/>
          <w:color w:val="auto"/>
          <w:sz w:val="24"/>
          <w:szCs w:val="24"/>
        </w:rPr>
      </w:pPr>
      <w:r w:rsidRPr="00DA03D9">
        <w:rPr>
          <w:rFonts w:ascii="Times New Roman" w:hAnsi="Times New Roman" w:cs="Times New Roman"/>
          <w:color w:val="auto"/>
          <w:sz w:val="24"/>
          <w:szCs w:val="24"/>
        </w:rPr>
        <w:t xml:space="preserve">HSB </w:t>
      </w:r>
      <w:proofErr w:type="spellStart"/>
      <w:r w:rsidRPr="00DA03D9">
        <w:rPr>
          <w:rFonts w:ascii="Times New Roman" w:hAnsi="Times New Roman" w:cs="Times New Roman"/>
          <w:color w:val="auto"/>
          <w:sz w:val="24"/>
          <w:szCs w:val="24"/>
        </w:rPr>
        <w:t>ProjektPartner</w:t>
      </w:r>
      <w:proofErr w:type="spellEnd"/>
      <w:r w:rsidRPr="00DA03D9">
        <w:rPr>
          <w:rFonts w:ascii="Times New Roman" w:hAnsi="Times New Roman" w:cs="Times New Roman"/>
          <w:color w:val="auto"/>
          <w:sz w:val="24"/>
          <w:szCs w:val="24"/>
        </w:rPr>
        <w:t xml:space="preserve"> är </w:t>
      </w:r>
      <w:proofErr w:type="spellStart"/>
      <w:r w:rsidRPr="00DA03D9">
        <w:rPr>
          <w:rFonts w:ascii="Times New Roman" w:hAnsi="Times New Roman" w:cs="Times New Roman"/>
          <w:color w:val="auto"/>
          <w:sz w:val="24"/>
          <w:szCs w:val="24"/>
        </w:rPr>
        <w:t>HSBs</w:t>
      </w:r>
      <w:proofErr w:type="spellEnd"/>
      <w:r w:rsidRPr="00DA03D9">
        <w:rPr>
          <w:rFonts w:ascii="Times New Roman" w:hAnsi="Times New Roman" w:cs="Times New Roman"/>
          <w:color w:val="auto"/>
          <w:sz w:val="24"/>
          <w:szCs w:val="24"/>
        </w:rPr>
        <w:t xml:space="preserve"> gemensamma affärsbolag som ägs av de 31 regionala HSB-föreningarna. Bolagets viktigaste uppgift är bostadsproduktion, vilken alltid sker i partnerskap med HSB-föreningarna. På så sätt kombineras den lokala förankringen och kunskapen med </w:t>
      </w:r>
      <w:proofErr w:type="spellStart"/>
      <w:r w:rsidRPr="00DA03D9">
        <w:rPr>
          <w:rFonts w:ascii="Times New Roman" w:hAnsi="Times New Roman" w:cs="Times New Roman"/>
          <w:color w:val="auto"/>
          <w:sz w:val="24"/>
          <w:szCs w:val="24"/>
        </w:rPr>
        <w:t>HSBs</w:t>
      </w:r>
      <w:proofErr w:type="spellEnd"/>
      <w:r w:rsidRPr="00DA03D9">
        <w:rPr>
          <w:rFonts w:ascii="Times New Roman" w:hAnsi="Times New Roman" w:cs="Times New Roman"/>
          <w:color w:val="auto"/>
          <w:sz w:val="24"/>
          <w:szCs w:val="24"/>
        </w:rPr>
        <w:t xml:space="preserve"> samlade resurser.</w:t>
      </w:r>
    </w:p>
    <w:p w:rsidR="007C198C" w:rsidRPr="00DA03D9" w:rsidRDefault="007C198C" w:rsidP="007C198C">
      <w:pPr>
        <w:pStyle w:val="7-Ingress"/>
        <w:rPr>
          <w:rFonts w:ascii="Times New Roman" w:hAnsi="Times New Roman" w:cs="Times New Roman"/>
          <w:color w:val="auto"/>
          <w:sz w:val="24"/>
          <w:szCs w:val="24"/>
        </w:rPr>
      </w:pPr>
    </w:p>
    <w:p w:rsidR="007C198C" w:rsidRPr="00DA03D9" w:rsidRDefault="007C198C" w:rsidP="007C198C">
      <w:pPr>
        <w:rPr>
          <w:spacing w:val="-1"/>
        </w:rPr>
      </w:pPr>
      <w:r w:rsidRPr="00DA03D9">
        <w:lastRenderedPageBreak/>
        <w:t xml:space="preserve">HSB </w:t>
      </w:r>
      <w:proofErr w:type="spellStart"/>
      <w:r w:rsidRPr="00DA03D9">
        <w:t>ProjektPartner</w:t>
      </w:r>
      <w:proofErr w:type="spellEnd"/>
      <w:r w:rsidRPr="00DA03D9">
        <w:t xml:space="preserve"> bedriver också verksamhet inom affärsområdena Inköp, Finans, Försäkring och Fastigheter som riktar sig till såväl </w:t>
      </w:r>
      <w:r w:rsidRPr="00DA03D9">
        <w:rPr>
          <w:spacing w:val="-1"/>
        </w:rPr>
        <w:t>HSB-föreningar som bostadsrättsföreningar och enskilda medlemmar.</w:t>
      </w:r>
    </w:p>
    <w:p w:rsidR="007C198C" w:rsidRPr="00DA03D9" w:rsidRDefault="007C198C" w:rsidP="007C198C">
      <w:pPr>
        <w:rPr>
          <w:spacing w:val="-1"/>
        </w:rPr>
      </w:pPr>
    </w:p>
    <w:p w:rsidR="007C198C" w:rsidRPr="00DA03D9" w:rsidRDefault="007C198C" w:rsidP="007C198C">
      <w:pPr>
        <w:pStyle w:val="7-Ingress"/>
        <w:rPr>
          <w:rFonts w:ascii="Times New Roman" w:hAnsi="Times New Roman" w:cs="Times New Roman"/>
          <w:i/>
          <w:color w:val="auto"/>
          <w:sz w:val="24"/>
          <w:szCs w:val="24"/>
        </w:rPr>
      </w:pPr>
      <w:r w:rsidRPr="00DA03D9">
        <w:rPr>
          <w:rFonts w:ascii="Times New Roman" w:hAnsi="Times New Roman" w:cs="Times New Roman"/>
          <w:color w:val="auto"/>
          <w:sz w:val="24"/>
          <w:szCs w:val="24"/>
        </w:rPr>
        <w:t xml:space="preserve">Under 2010 har återhämtningen efter finanskrisen fortsatt, vilket lett till att HSB </w:t>
      </w:r>
      <w:proofErr w:type="spellStart"/>
      <w:r w:rsidRPr="00DA03D9">
        <w:rPr>
          <w:rFonts w:ascii="Times New Roman" w:hAnsi="Times New Roman" w:cs="Times New Roman"/>
          <w:color w:val="auto"/>
          <w:sz w:val="24"/>
          <w:szCs w:val="24"/>
        </w:rPr>
        <w:t>ProjektPartner</w:t>
      </w:r>
      <w:proofErr w:type="spellEnd"/>
      <w:r w:rsidRPr="00DA03D9">
        <w:rPr>
          <w:rFonts w:ascii="Times New Roman" w:hAnsi="Times New Roman" w:cs="Times New Roman"/>
          <w:color w:val="auto"/>
          <w:sz w:val="24"/>
          <w:szCs w:val="24"/>
        </w:rPr>
        <w:t xml:space="preserve"> kunnat tredubbla både bostadsproduktionen och resultatet.</w:t>
      </w:r>
      <w:r w:rsidRPr="00DA03D9">
        <w:rPr>
          <w:rFonts w:ascii="Times New Roman" w:hAnsi="Times New Roman" w:cs="Times New Roman"/>
          <w:i/>
          <w:color w:val="auto"/>
          <w:sz w:val="24"/>
          <w:szCs w:val="24"/>
        </w:rPr>
        <w:t xml:space="preserve"> </w:t>
      </w:r>
    </w:p>
    <w:p w:rsidR="007C198C" w:rsidRDefault="007C198C" w:rsidP="007C198C"/>
    <w:p w:rsidR="007C198C" w:rsidRDefault="007C198C" w:rsidP="007C198C"/>
    <w:p w:rsidR="007C198C" w:rsidRDefault="007C198C" w:rsidP="007C198C"/>
    <w:p w:rsidR="007C198C" w:rsidRPr="00DA03D9" w:rsidRDefault="007C198C" w:rsidP="007C198C">
      <w:r w:rsidRPr="00DA03D9">
        <w:t xml:space="preserve">För ytterligare information, kontakta tf. VD Gunnar Mongård, </w:t>
      </w:r>
      <w:proofErr w:type="spellStart"/>
      <w:r w:rsidRPr="00DA03D9">
        <w:t>tel</w:t>
      </w:r>
      <w:proofErr w:type="spellEnd"/>
      <w:r w:rsidRPr="00DA03D9">
        <w:t xml:space="preserve">: 08- 785 31 79 eller </w:t>
      </w:r>
    </w:p>
    <w:p w:rsidR="007C198C" w:rsidRPr="00DA03D9" w:rsidRDefault="007C198C" w:rsidP="007C198C">
      <w:r w:rsidRPr="00DA03D9">
        <w:t xml:space="preserve">ekonomichef Berit Hanson Landberg, </w:t>
      </w:r>
      <w:proofErr w:type="spellStart"/>
      <w:r w:rsidRPr="00DA03D9">
        <w:t>tel</w:t>
      </w:r>
      <w:proofErr w:type="spellEnd"/>
      <w:r w:rsidRPr="00DA03D9">
        <w:t xml:space="preserve">: 08-785 32 38  </w:t>
      </w:r>
    </w:p>
    <w:p w:rsidR="007C198C" w:rsidRPr="00DA03D9" w:rsidRDefault="007C198C" w:rsidP="007C198C">
      <w:pPr>
        <w:pStyle w:val="Brdtext"/>
        <w:rPr>
          <w:szCs w:val="24"/>
        </w:rPr>
      </w:pPr>
    </w:p>
    <w:p w:rsidR="00141FF2" w:rsidRPr="007C198C" w:rsidRDefault="00141FF2" w:rsidP="005F2E44">
      <w:pPr>
        <w:pStyle w:val="Brdtext"/>
      </w:pPr>
    </w:p>
    <w:sectPr w:rsidR="00141FF2" w:rsidRPr="007C198C" w:rsidSect="004835B7">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531" w:left="1701" w:header="567"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198C" w:rsidRDefault="007C198C" w:rsidP="00216B9D">
      <w:r>
        <w:separator/>
      </w:r>
    </w:p>
  </w:endnote>
  <w:endnote w:type="continuationSeparator" w:id="0">
    <w:p w:rsidR="007C198C" w:rsidRDefault="007C198C" w:rsidP="00216B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ewBaskervilleStd-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icSt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28B" w:rsidRDefault="0039328B">
    <w:pPr>
      <w:pStyle w:val="Sidfo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28B" w:rsidRDefault="0039328B">
    <w:pPr>
      <w:pStyle w:val="Sidfo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28B" w:rsidRDefault="0039328B">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198C" w:rsidRDefault="007C198C" w:rsidP="00216B9D">
      <w:r>
        <w:separator/>
      </w:r>
    </w:p>
  </w:footnote>
  <w:footnote w:type="continuationSeparator" w:id="0">
    <w:p w:rsidR="007C198C" w:rsidRDefault="007C198C" w:rsidP="00216B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28B" w:rsidRDefault="0039328B">
    <w:pPr>
      <w:pStyle w:val="Sidhuvu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tblPr>
    <w:tblGrid>
      <w:gridCol w:w="1843"/>
      <w:gridCol w:w="3827"/>
      <w:gridCol w:w="1985"/>
      <w:gridCol w:w="1417"/>
    </w:tblGrid>
    <w:tr w:rsidR="00AB03E5" w:rsidTr="00B84307">
      <w:tc>
        <w:tcPr>
          <w:tcW w:w="1843" w:type="dxa"/>
        </w:tcPr>
        <w:p w:rsidR="00AB03E5" w:rsidRPr="00BA5D8C" w:rsidRDefault="007C198C" w:rsidP="00396885">
          <w:pPr>
            <w:pStyle w:val="Sidhuvud"/>
            <w:jc w:val="center"/>
          </w:pPr>
          <w:bookmarkStart w:id="3" w:name="bmLogga2"/>
          <w:r w:rsidRPr="00D00A6F">
            <w:rPr>
              <w:lang w:eastAsia="sv-SE"/>
            </w:rPr>
            <w:drawing>
              <wp:inline distT="0" distB="0" distL="0" distR="0">
                <wp:extent cx="864110" cy="601981"/>
                <wp:effectExtent l="19050" t="0" r="0" b="0"/>
                <wp:docPr id="5"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3"/>
        </w:p>
      </w:tc>
      <w:tc>
        <w:tcPr>
          <w:tcW w:w="3827" w:type="dxa"/>
        </w:tcPr>
        <w:p w:rsidR="00AB03E5" w:rsidRPr="00BA5D8C" w:rsidRDefault="00AB03E5" w:rsidP="00396885">
          <w:pPr>
            <w:pStyle w:val="Sidhuvud"/>
          </w:pPr>
        </w:p>
      </w:tc>
      <w:tc>
        <w:tcPr>
          <w:tcW w:w="1985" w:type="dxa"/>
        </w:tcPr>
        <w:p w:rsidR="00AB03E5" w:rsidRPr="006B1AAF" w:rsidRDefault="00AB03E5" w:rsidP="00396885">
          <w:pPr>
            <w:pStyle w:val="Sidhuvud"/>
          </w:pPr>
        </w:p>
      </w:tc>
      <w:tc>
        <w:tcPr>
          <w:tcW w:w="1417" w:type="dxa"/>
        </w:tcPr>
        <w:p w:rsidR="00AB03E5" w:rsidRPr="00F43914" w:rsidRDefault="00AB03E5" w:rsidP="00396885">
          <w:pPr>
            <w:pStyle w:val="Sidhuvud"/>
            <w:jc w:val="right"/>
            <w:rPr>
              <w:rStyle w:val="Sidnummer"/>
            </w:rPr>
          </w:pPr>
          <w:bookmarkStart w:id="4" w:name="bmSidnrSecond"/>
          <w:bookmarkEnd w:id="4"/>
        </w:p>
      </w:tc>
    </w:tr>
  </w:tbl>
  <w:p w:rsidR="00AB03E5" w:rsidRDefault="00AB03E5" w:rsidP="00AB03E5">
    <w:pPr>
      <w:pStyle w:val="Sidhuvu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tblPr>
    <w:tblGrid>
      <w:gridCol w:w="1843"/>
      <w:gridCol w:w="3827"/>
      <w:gridCol w:w="1985"/>
      <w:gridCol w:w="1417"/>
    </w:tblGrid>
    <w:tr w:rsidR="003F2C4E" w:rsidTr="00B84307">
      <w:tc>
        <w:tcPr>
          <w:tcW w:w="1843" w:type="dxa"/>
        </w:tcPr>
        <w:p w:rsidR="003F2C4E" w:rsidRPr="00BA5D8C" w:rsidRDefault="007C198C" w:rsidP="00F02AFC">
          <w:pPr>
            <w:pStyle w:val="Sidhuvud"/>
            <w:jc w:val="center"/>
          </w:pPr>
          <w:bookmarkStart w:id="5" w:name="bmLogga1"/>
          <w:r w:rsidRPr="00D00A6F">
            <w:rPr>
              <w:lang w:eastAsia="sv-SE"/>
            </w:rPr>
            <w:drawing>
              <wp:inline distT="0" distB="0" distL="0" distR="0">
                <wp:extent cx="864110" cy="601981"/>
                <wp:effectExtent l="19050" t="0" r="0" b="0"/>
                <wp:docPr id="1" name="Bildobjekt 1"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5"/>
        </w:p>
      </w:tc>
      <w:tc>
        <w:tcPr>
          <w:tcW w:w="3827" w:type="dxa"/>
        </w:tcPr>
        <w:p w:rsidR="003F2C4E" w:rsidRPr="00BA5D8C" w:rsidRDefault="003F2C4E" w:rsidP="00BA5D8C">
          <w:pPr>
            <w:pStyle w:val="Sidhuvud"/>
          </w:pPr>
        </w:p>
      </w:tc>
      <w:tc>
        <w:tcPr>
          <w:tcW w:w="1985" w:type="dxa"/>
        </w:tcPr>
        <w:p w:rsidR="003F2C4E" w:rsidRPr="006B1AAF" w:rsidRDefault="007C198C" w:rsidP="006B1AAF">
          <w:pPr>
            <w:pStyle w:val="Sidhuvud"/>
          </w:pPr>
          <w:bookmarkStart w:id="6" w:name="bmDatum"/>
          <w:r>
            <w:t>2011-04-07</w:t>
          </w:r>
          <w:bookmarkEnd w:id="6"/>
        </w:p>
      </w:tc>
      <w:tc>
        <w:tcPr>
          <w:tcW w:w="1417" w:type="dxa"/>
        </w:tcPr>
        <w:p w:rsidR="003F2C4E" w:rsidRPr="00F43914" w:rsidRDefault="003F2C4E" w:rsidP="002D2E87">
          <w:pPr>
            <w:pStyle w:val="Sidhuvud"/>
            <w:jc w:val="right"/>
            <w:rPr>
              <w:rStyle w:val="Sidnummer"/>
            </w:rPr>
          </w:pPr>
          <w:bookmarkStart w:id="7" w:name="bmSidnrFirst"/>
          <w:bookmarkEnd w:id="7"/>
        </w:p>
      </w:tc>
    </w:tr>
  </w:tbl>
  <w:p w:rsidR="003F2C4E" w:rsidRDefault="003F2C4E" w:rsidP="00F02AFC">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6494FA7A"/>
    <w:lvl w:ilvl="0">
      <w:start w:val="1"/>
      <w:numFmt w:val="decimal"/>
      <w:lvlText w:val="%1."/>
      <w:lvlJc w:val="left"/>
      <w:pPr>
        <w:tabs>
          <w:tab w:val="num" w:pos="1209"/>
        </w:tabs>
        <w:ind w:left="1209" w:hanging="360"/>
      </w:pPr>
    </w:lvl>
  </w:abstractNum>
  <w:abstractNum w:abstractNumId="1">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3">
    <w:nsid w:val="733B7362"/>
    <w:multiLevelType w:val="hybridMultilevel"/>
    <w:tmpl w:val="9506A5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rsids>
    <w:rsidRoot w:val="00570CCB"/>
    <w:rsid w:val="00005A36"/>
    <w:rsid w:val="000200C8"/>
    <w:rsid w:val="00023126"/>
    <w:rsid w:val="00023BD1"/>
    <w:rsid w:val="00033BA1"/>
    <w:rsid w:val="00052E24"/>
    <w:rsid w:val="00061842"/>
    <w:rsid w:val="000807E7"/>
    <w:rsid w:val="00081DCE"/>
    <w:rsid w:val="00090E65"/>
    <w:rsid w:val="000933D5"/>
    <w:rsid w:val="000953D8"/>
    <w:rsid w:val="00097E2A"/>
    <w:rsid w:val="000A0596"/>
    <w:rsid w:val="000E1C6D"/>
    <w:rsid w:val="000F07E2"/>
    <w:rsid w:val="00112C21"/>
    <w:rsid w:val="00124F8E"/>
    <w:rsid w:val="001255E5"/>
    <w:rsid w:val="00132183"/>
    <w:rsid w:val="001321CC"/>
    <w:rsid w:val="001323F5"/>
    <w:rsid w:val="00141FF2"/>
    <w:rsid w:val="00143DCE"/>
    <w:rsid w:val="0015563E"/>
    <w:rsid w:val="001764EA"/>
    <w:rsid w:val="0018791B"/>
    <w:rsid w:val="001966D0"/>
    <w:rsid w:val="001B61B6"/>
    <w:rsid w:val="001B7966"/>
    <w:rsid w:val="001B7CA6"/>
    <w:rsid w:val="001C516D"/>
    <w:rsid w:val="001E01B3"/>
    <w:rsid w:val="001E09F7"/>
    <w:rsid w:val="001E3011"/>
    <w:rsid w:val="001E72C6"/>
    <w:rsid w:val="001F2387"/>
    <w:rsid w:val="00207570"/>
    <w:rsid w:val="00216B9D"/>
    <w:rsid w:val="00244D8A"/>
    <w:rsid w:val="0025232F"/>
    <w:rsid w:val="0026519C"/>
    <w:rsid w:val="0027651D"/>
    <w:rsid w:val="002854B8"/>
    <w:rsid w:val="00287214"/>
    <w:rsid w:val="002911A1"/>
    <w:rsid w:val="002916F3"/>
    <w:rsid w:val="002B2358"/>
    <w:rsid w:val="002B54ED"/>
    <w:rsid w:val="002C7230"/>
    <w:rsid w:val="002D2E87"/>
    <w:rsid w:val="002D7C36"/>
    <w:rsid w:val="002E7F97"/>
    <w:rsid w:val="002F70FD"/>
    <w:rsid w:val="002F7263"/>
    <w:rsid w:val="00302C65"/>
    <w:rsid w:val="003050F8"/>
    <w:rsid w:val="00307E31"/>
    <w:rsid w:val="0031338A"/>
    <w:rsid w:val="00315341"/>
    <w:rsid w:val="003270B8"/>
    <w:rsid w:val="003363E5"/>
    <w:rsid w:val="00347ACA"/>
    <w:rsid w:val="00352CDD"/>
    <w:rsid w:val="00355ECC"/>
    <w:rsid w:val="00361D3A"/>
    <w:rsid w:val="00367B32"/>
    <w:rsid w:val="00371319"/>
    <w:rsid w:val="00371F57"/>
    <w:rsid w:val="00381FD0"/>
    <w:rsid w:val="00384192"/>
    <w:rsid w:val="00387B41"/>
    <w:rsid w:val="0039328B"/>
    <w:rsid w:val="00393760"/>
    <w:rsid w:val="0039690E"/>
    <w:rsid w:val="003A1292"/>
    <w:rsid w:val="003C1D28"/>
    <w:rsid w:val="003D0760"/>
    <w:rsid w:val="003D1B03"/>
    <w:rsid w:val="003D5F3B"/>
    <w:rsid w:val="003F2C4E"/>
    <w:rsid w:val="003F4B93"/>
    <w:rsid w:val="00407291"/>
    <w:rsid w:val="0042328A"/>
    <w:rsid w:val="00435C5C"/>
    <w:rsid w:val="004525D1"/>
    <w:rsid w:val="00454064"/>
    <w:rsid w:val="004631BA"/>
    <w:rsid w:val="00463DC9"/>
    <w:rsid w:val="004835B7"/>
    <w:rsid w:val="00485BDC"/>
    <w:rsid w:val="00493755"/>
    <w:rsid w:val="00497CEF"/>
    <w:rsid w:val="004A1AF2"/>
    <w:rsid w:val="004A3F5C"/>
    <w:rsid w:val="004A493E"/>
    <w:rsid w:val="004C1D5A"/>
    <w:rsid w:val="004D2B1A"/>
    <w:rsid w:val="004E06B8"/>
    <w:rsid w:val="004E2A51"/>
    <w:rsid w:val="004E5A42"/>
    <w:rsid w:val="004E67A5"/>
    <w:rsid w:val="004F10D4"/>
    <w:rsid w:val="004F2AB2"/>
    <w:rsid w:val="005024B3"/>
    <w:rsid w:val="00507F12"/>
    <w:rsid w:val="005171E0"/>
    <w:rsid w:val="00533638"/>
    <w:rsid w:val="00546582"/>
    <w:rsid w:val="00546EC6"/>
    <w:rsid w:val="00570CCB"/>
    <w:rsid w:val="00577889"/>
    <w:rsid w:val="0058450C"/>
    <w:rsid w:val="00595E51"/>
    <w:rsid w:val="005B4CEB"/>
    <w:rsid w:val="005C1D34"/>
    <w:rsid w:val="005C65EB"/>
    <w:rsid w:val="005E0A48"/>
    <w:rsid w:val="005F02D5"/>
    <w:rsid w:val="005F1FC9"/>
    <w:rsid w:val="005F2E44"/>
    <w:rsid w:val="005F3957"/>
    <w:rsid w:val="005F6530"/>
    <w:rsid w:val="00600823"/>
    <w:rsid w:val="00603995"/>
    <w:rsid w:val="006044DD"/>
    <w:rsid w:val="00617E58"/>
    <w:rsid w:val="00634A31"/>
    <w:rsid w:val="00653066"/>
    <w:rsid w:val="00666019"/>
    <w:rsid w:val="00674805"/>
    <w:rsid w:val="006831F8"/>
    <w:rsid w:val="00696159"/>
    <w:rsid w:val="006B123E"/>
    <w:rsid w:val="006B1AAF"/>
    <w:rsid w:val="006B5329"/>
    <w:rsid w:val="006B59BD"/>
    <w:rsid w:val="006C00E5"/>
    <w:rsid w:val="006C2C11"/>
    <w:rsid w:val="006D4F71"/>
    <w:rsid w:val="006F6A23"/>
    <w:rsid w:val="00712C97"/>
    <w:rsid w:val="00735EA0"/>
    <w:rsid w:val="00736D7B"/>
    <w:rsid w:val="007669D2"/>
    <w:rsid w:val="007A213F"/>
    <w:rsid w:val="007A5EEE"/>
    <w:rsid w:val="007A7C22"/>
    <w:rsid w:val="007B799C"/>
    <w:rsid w:val="007C198C"/>
    <w:rsid w:val="007D20A9"/>
    <w:rsid w:val="007D34F3"/>
    <w:rsid w:val="007E4F40"/>
    <w:rsid w:val="0082246C"/>
    <w:rsid w:val="00836C7E"/>
    <w:rsid w:val="00837C28"/>
    <w:rsid w:val="008408FC"/>
    <w:rsid w:val="00846D54"/>
    <w:rsid w:val="00847B0E"/>
    <w:rsid w:val="00851B7A"/>
    <w:rsid w:val="008568CD"/>
    <w:rsid w:val="00864ADD"/>
    <w:rsid w:val="00875FEE"/>
    <w:rsid w:val="008860F0"/>
    <w:rsid w:val="00892E93"/>
    <w:rsid w:val="00895077"/>
    <w:rsid w:val="00895BB0"/>
    <w:rsid w:val="008B230C"/>
    <w:rsid w:val="008B5722"/>
    <w:rsid w:val="008C129E"/>
    <w:rsid w:val="008C5E9B"/>
    <w:rsid w:val="008D73CD"/>
    <w:rsid w:val="008E2628"/>
    <w:rsid w:val="008E4450"/>
    <w:rsid w:val="008E6F78"/>
    <w:rsid w:val="008E73CE"/>
    <w:rsid w:val="008F0D91"/>
    <w:rsid w:val="008F1BE3"/>
    <w:rsid w:val="00901B2C"/>
    <w:rsid w:val="00907285"/>
    <w:rsid w:val="009156CA"/>
    <w:rsid w:val="0092769D"/>
    <w:rsid w:val="009311EE"/>
    <w:rsid w:val="00940670"/>
    <w:rsid w:val="009537E0"/>
    <w:rsid w:val="0096453C"/>
    <w:rsid w:val="009775A2"/>
    <w:rsid w:val="00981375"/>
    <w:rsid w:val="009817AB"/>
    <w:rsid w:val="009836D3"/>
    <w:rsid w:val="009A0906"/>
    <w:rsid w:val="009A268E"/>
    <w:rsid w:val="009B0190"/>
    <w:rsid w:val="009B581B"/>
    <w:rsid w:val="009D3911"/>
    <w:rsid w:val="00A04773"/>
    <w:rsid w:val="00A22F25"/>
    <w:rsid w:val="00A23FC6"/>
    <w:rsid w:val="00A471D5"/>
    <w:rsid w:val="00A61C93"/>
    <w:rsid w:val="00A672C3"/>
    <w:rsid w:val="00A71241"/>
    <w:rsid w:val="00A729B4"/>
    <w:rsid w:val="00A73D9F"/>
    <w:rsid w:val="00A77985"/>
    <w:rsid w:val="00A8165A"/>
    <w:rsid w:val="00A864E3"/>
    <w:rsid w:val="00A947B0"/>
    <w:rsid w:val="00AB03E5"/>
    <w:rsid w:val="00AB2172"/>
    <w:rsid w:val="00AC0608"/>
    <w:rsid w:val="00AE51CA"/>
    <w:rsid w:val="00B14C92"/>
    <w:rsid w:val="00B212C3"/>
    <w:rsid w:val="00B25F9A"/>
    <w:rsid w:val="00B26A8B"/>
    <w:rsid w:val="00B4414F"/>
    <w:rsid w:val="00B62968"/>
    <w:rsid w:val="00B7270B"/>
    <w:rsid w:val="00B84307"/>
    <w:rsid w:val="00B97646"/>
    <w:rsid w:val="00BA23FA"/>
    <w:rsid w:val="00BA4909"/>
    <w:rsid w:val="00BA5D8C"/>
    <w:rsid w:val="00BF3CFB"/>
    <w:rsid w:val="00C13583"/>
    <w:rsid w:val="00C14848"/>
    <w:rsid w:val="00C21744"/>
    <w:rsid w:val="00C25C19"/>
    <w:rsid w:val="00C403E0"/>
    <w:rsid w:val="00C45113"/>
    <w:rsid w:val="00C5640D"/>
    <w:rsid w:val="00C655D2"/>
    <w:rsid w:val="00C91CB8"/>
    <w:rsid w:val="00C96EBA"/>
    <w:rsid w:val="00C977CD"/>
    <w:rsid w:val="00CC76A3"/>
    <w:rsid w:val="00CD34DD"/>
    <w:rsid w:val="00CD5DD5"/>
    <w:rsid w:val="00CE4915"/>
    <w:rsid w:val="00D028F5"/>
    <w:rsid w:val="00D23035"/>
    <w:rsid w:val="00D33334"/>
    <w:rsid w:val="00D36EAF"/>
    <w:rsid w:val="00D422D0"/>
    <w:rsid w:val="00D43117"/>
    <w:rsid w:val="00D441CC"/>
    <w:rsid w:val="00D5219B"/>
    <w:rsid w:val="00D55573"/>
    <w:rsid w:val="00D624A6"/>
    <w:rsid w:val="00D67A5A"/>
    <w:rsid w:val="00D816E4"/>
    <w:rsid w:val="00D83668"/>
    <w:rsid w:val="00DA055D"/>
    <w:rsid w:val="00DA30ED"/>
    <w:rsid w:val="00DB7484"/>
    <w:rsid w:val="00DD07C6"/>
    <w:rsid w:val="00DD2969"/>
    <w:rsid w:val="00DE600A"/>
    <w:rsid w:val="00DE67DE"/>
    <w:rsid w:val="00DE7F50"/>
    <w:rsid w:val="00DF52A2"/>
    <w:rsid w:val="00E22249"/>
    <w:rsid w:val="00E240C5"/>
    <w:rsid w:val="00E24663"/>
    <w:rsid w:val="00E2534B"/>
    <w:rsid w:val="00E40308"/>
    <w:rsid w:val="00E447B0"/>
    <w:rsid w:val="00E45524"/>
    <w:rsid w:val="00E530FC"/>
    <w:rsid w:val="00E77E58"/>
    <w:rsid w:val="00E81A47"/>
    <w:rsid w:val="00E90BDA"/>
    <w:rsid w:val="00E917EC"/>
    <w:rsid w:val="00E9189A"/>
    <w:rsid w:val="00E91D5D"/>
    <w:rsid w:val="00EB73AE"/>
    <w:rsid w:val="00EB7FA4"/>
    <w:rsid w:val="00ED1C4D"/>
    <w:rsid w:val="00ED59A4"/>
    <w:rsid w:val="00ED5A31"/>
    <w:rsid w:val="00F02AFC"/>
    <w:rsid w:val="00F17B55"/>
    <w:rsid w:val="00F2676D"/>
    <w:rsid w:val="00F26D4F"/>
    <w:rsid w:val="00F27335"/>
    <w:rsid w:val="00F34D30"/>
    <w:rsid w:val="00F35A37"/>
    <w:rsid w:val="00F35BA5"/>
    <w:rsid w:val="00F3657B"/>
    <w:rsid w:val="00F43914"/>
    <w:rsid w:val="00F56C3A"/>
    <w:rsid w:val="00F630CA"/>
    <w:rsid w:val="00F63E0C"/>
    <w:rsid w:val="00F73D49"/>
    <w:rsid w:val="00F75F7A"/>
    <w:rsid w:val="00F83AE9"/>
    <w:rsid w:val="00F84B1A"/>
    <w:rsid w:val="00F9543B"/>
    <w:rsid w:val="00FC5EF7"/>
    <w:rsid w:val="00FC7D68"/>
    <w:rsid w:val="00FD6FAA"/>
    <w:rsid w:val="00FF689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uiPriority="0" w:unhideWhenUsed="1" w:qFormat="1"/>
    <w:lsdException w:name="heading 3" w:uiPriority="0" w:unhideWhenUsed="1"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footer" w:uiPriority="0" w:unhideWhenUsed="1"/>
    <w:lsdException w:name="caption" w:uiPriority="35" w:qFormat="1"/>
    <w:lsdException w:name="page number" w:semiHidden="0" w:uiPriority="7"/>
    <w:lsdException w:name="List Bullet" w:uiPriority="6" w:unhideWhenUsed="1" w:qFormat="1"/>
    <w:lsdException w:name="List Number" w:uiPriority="4" w:unhideWhenUsed="1" w:qFormat="1"/>
    <w:lsdException w:name="Title" w:uiPriority="10"/>
    <w:lsdException w:name="Default Paragraph Font" w:uiPriority="1" w:unhideWhenUsed="1"/>
    <w:lsdException w:name="Body Text" w:uiPriority="3" w:unhideWhenUsed="1" w:qFormat="1"/>
    <w:lsdException w:name="Subtitle" w:uiPriority="11"/>
    <w:lsdException w:name="Strong" w:uiPriority="22"/>
    <w:lsdException w:name="Emphasis"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qFormat/>
    <w:rsid w:val="007C198C"/>
    <w:pPr>
      <w:spacing w:after="0" w:line="240" w:lineRule="auto"/>
    </w:pPr>
    <w:rPr>
      <w:rFonts w:ascii="Times New Roman" w:eastAsia="Times New Roman" w:hAnsi="Times New Roman" w:cs="Times New Roman"/>
      <w:sz w:val="24"/>
      <w:szCs w:val="24"/>
      <w:lang w:eastAsia="sv-SE"/>
    </w:rPr>
  </w:style>
  <w:style w:type="paragraph" w:styleId="Rubrik1">
    <w:name w:val="heading 1"/>
    <w:next w:val="Brdtext"/>
    <w:link w:val="Rubrik1Char"/>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semiHidden/>
    <w:rsid w:val="0018791B"/>
    <w:pPr>
      <w:spacing w:line="240" w:lineRule="auto"/>
    </w:pPr>
    <w:rPr>
      <w:rFonts w:ascii="Arial" w:hAnsi="Arial"/>
      <w:noProof/>
      <w:sz w:val="16"/>
    </w:rPr>
  </w:style>
  <w:style w:type="character" w:customStyle="1" w:styleId="SidhuvudChar">
    <w:name w:val="Sidhuvud Char"/>
    <w:basedOn w:val="Standardstycketeckensnitt"/>
    <w:link w:val="Sidhuvud"/>
    <w:uiPriority w:val="7"/>
    <w:semiHidden/>
    <w:rsid w:val="005F2E44"/>
    <w:rPr>
      <w:rFonts w:ascii="Arial" w:hAnsi="Arial"/>
      <w:noProof/>
      <w:sz w:val="16"/>
    </w:rPr>
  </w:style>
  <w:style w:type="paragraph" w:styleId="Sidfot">
    <w:name w:val="footer"/>
    <w:link w:val="SidfotChar"/>
    <w:uiPriority w:val="7"/>
    <w:semiHidden/>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link w:val="Sidfot"/>
    <w:uiPriority w:val="7"/>
    <w:semiHidden/>
    <w:rsid w:val="005F2E44"/>
    <w:rPr>
      <w:rFonts w:ascii="Arial" w:hAnsi="Arial"/>
      <w:noProof/>
      <w:sz w:val="15"/>
    </w:rPr>
  </w:style>
  <w:style w:type="table" w:styleId="Tabellrutnt">
    <w:name w:val="Table Grid"/>
    <w:basedOn w:val="Normaltabell"/>
    <w:rsid w:val="00216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gtext">
    <w:name w:val="Balloon Text"/>
    <w:basedOn w:val="Normal"/>
    <w:link w:val="BallongtextChar"/>
    <w:uiPriority w:val="99"/>
    <w:semiHidden/>
    <w:rsid w:val="00216B9D"/>
    <w:rPr>
      <w:rFonts w:ascii="Tahoma" w:hAnsi="Tahoma" w:cs="Tahoma"/>
      <w:sz w:val="16"/>
      <w:szCs w:val="16"/>
    </w:rPr>
  </w:style>
  <w:style w:type="character" w:customStyle="1" w:styleId="BallongtextChar">
    <w:name w:val="Ballongtext Char"/>
    <w:basedOn w:val="Standardstycketeckensnitt"/>
    <w:link w:val="Ballongtext"/>
    <w:uiPriority w:val="99"/>
    <w:semiHidden/>
    <w:rsid w:val="00F35A37"/>
    <w:rPr>
      <w:rFonts w:ascii="Tahoma" w:hAnsi="Tahoma" w:cs="Tahoma"/>
      <w:sz w:val="16"/>
      <w:szCs w:val="16"/>
    </w:rPr>
  </w:style>
  <w:style w:type="character" w:customStyle="1" w:styleId="Rubrik1Char">
    <w:name w:val="Rubrik 1 Char"/>
    <w:basedOn w:val="Standardstycketeckensnitt"/>
    <w:link w:val="Rubrik1"/>
    <w:rsid w:val="00C91CB8"/>
    <w:rPr>
      <w:rFonts w:ascii="Arial" w:eastAsiaTheme="majorEastAsia" w:hAnsi="Arial" w:cstheme="majorBidi"/>
      <w:b/>
      <w:bCs/>
      <w:caps/>
      <w:color w:val="00257A"/>
      <w:sz w:val="32"/>
      <w:szCs w:val="28"/>
    </w:rPr>
  </w:style>
  <w:style w:type="paragraph" w:styleId="Brdtext">
    <w:name w:val="Body Text"/>
    <w:link w:val="BrdtextChar"/>
    <w:uiPriority w:val="4"/>
    <w:qFormat/>
    <w:rsid w:val="00F35A37"/>
    <w:pPr>
      <w:spacing w:line="290" w:lineRule="atLeast"/>
    </w:pPr>
    <w:rPr>
      <w:rFonts w:ascii="Times New Roman" w:hAnsi="Times New Roman"/>
      <w:sz w:val="24"/>
    </w:rPr>
  </w:style>
  <w:style w:type="character" w:customStyle="1" w:styleId="BrdtextChar">
    <w:name w:val="Brödtext Char"/>
    <w:basedOn w:val="Standardstycketeckensnitt"/>
    <w:link w:val="Brdtext"/>
    <w:uiPriority w:val="4"/>
    <w:rsid w:val="00F35A37"/>
    <w:rPr>
      <w:rFonts w:ascii="Times New Roman" w:hAnsi="Times New Roman"/>
      <w:sz w:val="24"/>
    </w:rPr>
  </w:style>
  <w:style w:type="character" w:customStyle="1" w:styleId="Rubrik2Char">
    <w:name w:val="Rubrik 2 Char"/>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link w:val="Rubrik4"/>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DA30ED"/>
    <w:pPr>
      <w:spacing w:after="0" w:line="240" w:lineRule="auto"/>
    </w:pPr>
    <w:rPr>
      <w:rFonts w:ascii="Times New Roman" w:hAnsi="Times New Roman"/>
      <w:sz w:val="24"/>
    </w:rPr>
  </w:style>
  <w:style w:type="character" w:styleId="Sidnummer">
    <w:name w:val="page number"/>
    <w:basedOn w:val="Standardstycketeckensnitt"/>
    <w:uiPriority w:val="7"/>
    <w:semiHidden/>
    <w:rsid w:val="007B799C"/>
    <w:rPr>
      <w:rFonts w:ascii="Arial" w:hAnsi="Arial"/>
      <w:color w:val="auto"/>
      <w:sz w:val="16"/>
    </w:rPr>
  </w:style>
  <w:style w:type="paragraph" w:customStyle="1" w:styleId="SidfotFtg">
    <w:name w:val="SidfotFtg"/>
    <w:uiPriority w:val="7"/>
    <w:semiHidden/>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1-Brd">
    <w:name w:val="1 - Bröd"/>
    <w:basedOn w:val="Normal"/>
    <w:rsid w:val="007C198C"/>
    <w:pPr>
      <w:tabs>
        <w:tab w:val="left" w:pos="290"/>
      </w:tabs>
      <w:autoSpaceDE w:val="0"/>
      <w:autoSpaceDN w:val="0"/>
      <w:adjustRightInd w:val="0"/>
      <w:spacing w:line="240" w:lineRule="atLeast"/>
      <w:textAlignment w:val="center"/>
    </w:pPr>
    <w:rPr>
      <w:rFonts w:ascii="NewBaskervilleStd-Roman" w:hAnsi="NewBaskervilleStd-Roman"/>
      <w:color w:val="000000"/>
      <w:sz w:val="18"/>
      <w:szCs w:val="18"/>
    </w:rPr>
  </w:style>
  <w:style w:type="paragraph" w:customStyle="1" w:styleId="2-Brdind">
    <w:name w:val="2 - Bröd ind"/>
    <w:basedOn w:val="1-Brd"/>
    <w:uiPriority w:val="99"/>
    <w:rsid w:val="007C198C"/>
    <w:pPr>
      <w:ind w:firstLine="283"/>
    </w:pPr>
  </w:style>
  <w:style w:type="paragraph" w:customStyle="1" w:styleId="xl24">
    <w:name w:val="xl24"/>
    <w:basedOn w:val="Normal"/>
    <w:rsid w:val="007C198C"/>
    <w:pPr>
      <w:shd w:val="clear" w:color="auto" w:fill="FFFFFF"/>
      <w:spacing w:before="100" w:beforeAutospacing="1" w:after="100" w:afterAutospacing="1"/>
    </w:pPr>
    <w:rPr>
      <w:rFonts w:ascii="Arial" w:eastAsia="Arial Unicode MS" w:hAnsi="Arial" w:cs="Arial"/>
    </w:rPr>
  </w:style>
  <w:style w:type="paragraph" w:customStyle="1" w:styleId="1-Brd-kopia">
    <w:name w:val="1 - Bröd - kopia"/>
    <w:basedOn w:val="Normal"/>
    <w:uiPriority w:val="99"/>
    <w:rsid w:val="007C198C"/>
    <w:pPr>
      <w:tabs>
        <w:tab w:val="left" w:pos="290"/>
      </w:tabs>
      <w:autoSpaceDE w:val="0"/>
      <w:autoSpaceDN w:val="0"/>
      <w:adjustRightInd w:val="0"/>
      <w:spacing w:line="240" w:lineRule="atLeast"/>
      <w:jc w:val="both"/>
      <w:textAlignment w:val="center"/>
    </w:pPr>
    <w:rPr>
      <w:rFonts w:ascii="NewBaskervilleStd-Roman" w:hAnsi="NewBaskervilleStd-Roman" w:cs="NewBaskervilleStd-Roman"/>
      <w:color w:val="000000"/>
      <w:sz w:val="18"/>
      <w:szCs w:val="18"/>
    </w:rPr>
  </w:style>
  <w:style w:type="paragraph" w:customStyle="1" w:styleId="7-Ingress">
    <w:name w:val="7 - Ingress"/>
    <w:basedOn w:val="Normal"/>
    <w:uiPriority w:val="99"/>
    <w:rsid w:val="007C198C"/>
    <w:pPr>
      <w:autoSpaceDE w:val="0"/>
      <w:autoSpaceDN w:val="0"/>
      <w:adjustRightInd w:val="0"/>
      <w:spacing w:line="320" w:lineRule="atLeast"/>
      <w:textAlignment w:val="center"/>
    </w:pPr>
    <w:rPr>
      <w:rFonts w:ascii="NewsGothicStd" w:hAnsi="NewsGothicStd" w:cs="NewsGothicStd"/>
      <w:color w:val="000000"/>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1akj\application%20data\microsoft\mallar\HSB%20Mallar\HSB_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HSB_Grund</Template>
  <TotalTime>2</TotalTime>
  <Pages>3</Pages>
  <Words>720</Words>
  <Characters>3817</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Emanuel Identity Manuals AB</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 Ländström</dc:creator>
  <cp:keywords>Grundmall - HSB</cp:keywords>
  <dc:description>Mars 2011, MS Word 2007, Sv
Carin Ländström, Hangar/C2
070-921 16 60</dc:description>
  <cp:lastModifiedBy>111akj</cp:lastModifiedBy>
  <cp:revision>2</cp:revision>
  <cp:lastPrinted>2011-02-03T12:22:00Z</cp:lastPrinted>
  <dcterms:created xsi:type="dcterms:W3CDTF">2011-04-07T10:22:00Z</dcterms:created>
  <dcterms:modified xsi:type="dcterms:W3CDTF">2011-04-07T10:25:00Z</dcterms:modified>
</cp:coreProperties>
</file>