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A0A" w:rsidRDefault="00C31996" w:rsidP="006C6A0A">
      <w:pPr>
        <w:pStyle w:val="berschrift1"/>
        <w:rPr>
          <w:rFonts w:ascii="Sparkasse Rg" w:eastAsia="Sparkasse Rg" w:hAnsi="Sparkasse Rg" w:cs="Sparkasse Rg"/>
          <w:sz w:val="24"/>
          <w:szCs w:val="24"/>
        </w:rPr>
      </w:pPr>
      <w:r>
        <w:rPr>
          <w:rFonts w:ascii="Sparkasse Rg" w:eastAsia="Sparkasse Rg" w:hAnsi="Sparkasse Rg" w:cs="Sparkasse Rg"/>
          <w:sz w:val="24"/>
          <w:szCs w:val="24"/>
        </w:rPr>
        <w:t>Pressemeldung 25</w:t>
      </w:r>
      <w:r w:rsidR="006C6A0A">
        <w:rPr>
          <w:rFonts w:ascii="Sparkasse Rg" w:eastAsia="Sparkasse Rg" w:hAnsi="Sparkasse Rg" w:cs="Sparkasse Rg"/>
          <w:sz w:val="24"/>
          <w:szCs w:val="24"/>
        </w:rPr>
        <w:t>.10.2019</w:t>
      </w:r>
    </w:p>
    <w:p w:rsidR="006C6A0A" w:rsidRDefault="00DF4CBA" w:rsidP="006C6A0A">
      <w:pPr>
        <w:pStyle w:val="berschrift1"/>
        <w:rPr>
          <w:rFonts w:ascii="Sparkasse Rg" w:eastAsia="Sparkasse Rg" w:hAnsi="Sparkasse Rg" w:cs="Sparkasse Rg"/>
          <w:sz w:val="24"/>
          <w:szCs w:val="24"/>
        </w:rPr>
      </w:pPr>
      <w:r>
        <w:rPr>
          <w:rFonts w:ascii="Sparkasse Rg" w:eastAsia="Sparkasse Rg" w:hAnsi="Sparkasse Rg" w:cs="Sparkasse Rg"/>
          <w:sz w:val="24"/>
          <w:szCs w:val="24"/>
        </w:rPr>
        <w:t>Der Weltspar</w:t>
      </w:r>
      <w:r w:rsidR="00BB04A2">
        <w:rPr>
          <w:rFonts w:ascii="Sparkasse Rg" w:eastAsia="Sparkasse Rg" w:hAnsi="Sparkasse Rg" w:cs="Sparkasse Rg"/>
          <w:sz w:val="24"/>
          <w:szCs w:val="24"/>
        </w:rPr>
        <w:t>-T</w:t>
      </w:r>
      <w:r>
        <w:rPr>
          <w:rFonts w:ascii="Sparkasse Rg" w:eastAsia="Sparkasse Rg" w:hAnsi="Sparkasse Rg" w:cs="Sparkasse Rg"/>
          <w:sz w:val="24"/>
          <w:szCs w:val="24"/>
        </w:rPr>
        <w:t>ag wird zum Welt</w:t>
      </w:r>
      <w:r w:rsidR="00BB04A2">
        <w:rPr>
          <w:rFonts w:ascii="Sparkasse Rg" w:eastAsia="Sparkasse Rg" w:hAnsi="Sparkasse Rg" w:cs="Sparkasse Rg"/>
          <w:sz w:val="24"/>
          <w:szCs w:val="24"/>
        </w:rPr>
        <w:t>a</w:t>
      </w:r>
      <w:r>
        <w:rPr>
          <w:rFonts w:ascii="Sparkasse Rg" w:eastAsia="Sparkasse Rg" w:hAnsi="Sparkasse Rg" w:cs="Sparkasse Rg"/>
          <w:sz w:val="24"/>
          <w:szCs w:val="24"/>
        </w:rPr>
        <w:t>nlage</w:t>
      </w:r>
      <w:r w:rsidR="00BB04A2">
        <w:rPr>
          <w:rFonts w:ascii="Sparkasse Rg" w:eastAsia="Sparkasse Rg" w:hAnsi="Sparkasse Rg" w:cs="Sparkasse Rg"/>
          <w:sz w:val="24"/>
          <w:szCs w:val="24"/>
        </w:rPr>
        <w:t>-T</w:t>
      </w:r>
      <w:r>
        <w:rPr>
          <w:rFonts w:ascii="Sparkasse Rg" w:eastAsia="Sparkasse Rg" w:hAnsi="Sparkasse Rg" w:cs="Sparkasse Rg"/>
          <w:sz w:val="24"/>
          <w:szCs w:val="24"/>
        </w:rPr>
        <w:t>ag!</w:t>
      </w:r>
    </w:p>
    <w:p w:rsidR="006C6A0A" w:rsidRDefault="006C6A0A" w:rsidP="006C6A0A"/>
    <w:p w:rsidR="00210C8B" w:rsidRDefault="006C6A0A" w:rsidP="00CE3538">
      <w:pPr>
        <w:pBdr>
          <w:top w:val="nil"/>
          <w:left w:val="nil"/>
          <w:bottom w:val="nil"/>
          <w:right w:val="nil"/>
          <w:between w:val="nil"/>
        </w:pBdr>
        <w:tabs>
          <w:tab w:val="left" w:pos="6804"/>
        </w:tabs>
        <w:spacing w:after="120" w:line="360" w:lineRule="auto"/>
        <w:ind w:right="1983"/>
      </w:pPr>
      <w:r>
        <w:rPr>
          <w:b/>
          <w:color w:val="000000"/>
        </w:rPr>
        <w:t>München (</w:t>
      </w:r>
      <w:proofErr w:type="spellStart"/>
      <w:r>
        <w:rPr>
          <w:b/>
          <w:color w:val="000000"/>
        </w:rPr>
        <w:t>sskm</w:t>
      </w:r>
      <w:proofErr w:type="spellEnd"/>
      <w:r>
        <w:rPr>
          <w:b/>
          <w:color w:val="000000"/>
        </w:rPr>
        <w:t>).</w:t>
      </w:r>
      <w:r>
        <w:rPr>
          <w:color w:val="000000"/>
        </w:rPr>
        <w:t xml:space="preserve"> </w:t>
      </w:r>
      <w:r w:rsidR="00C231D1">
        <w:t>In den anhaltenden Zeiten der Niedrigzinsphase wird für An</w:t>
      </w:r>
      <w:r w:rsidR="0024209D">
        <w:t>leger das Sparen in Wertpapiere</w:t>
      </w:r>
      <w:r w:rsidR="00C231D1">
        <w:t xml:space="preserve"> immer wichtiger. Das klassische Zinssparen mit Sparbuch, Tages- oder Festgeld ist nicht mehr zeitgemäß. Während die Zinsen sehr niedrig sind, </w:t>
      </w:r>
      <w:r w:rsidR="007465B1">
        <w:t>liegt</w:t>
      </w:r>
      <w:r w:rsidR="00C231D1">
        <w:t xml:space="preserve"> die Inflation meist deutlich höher. </w:t>
      </w:r>
    </w:p>
    <w:p w:rsidR="00285310" w:rsidRDefault="00C231D1" w:rsidP="00CE3538">
      <w:pPr>
        <w:pBdr>
          <w:top w:val="nil"/>
          <w:left w:val="nil"/>
          <w:bottom w:val="nil"/>
          <w:right w:val="nil"/>
          <w:between w:val="nil"/>
        </w:pBdr>
        <w:tabs>
          <w:tab w:val="left" w:pos="6804"/>
        </w:tabs>
        <w:spacing w:after="120" w:line="360" w:lineRule="auto"/>
        <w:ind w:right="1983"/>
      </w:pPr>
      <w:r>
        <w:t xml:space="preserve">Damit liegt der so genannte Realzins für diese Anlagen im negativen Bereich bei </w:t>
      </w:r>
      <w:r w:rsidR="007465B1">
        <w:t xml:space="preserve">rund </w:t>
      </w:r>
      <w:r w:rsidR="00CC4D70">
        <w:t xml:space="preserve">minus </w:t>
      </w:r>
      <w:r w:rsidR="00285310">
        <w:t xml:space="preserve">1,5 </w:t>
      </w:r>
      <w:r w:rsidR="00210C8B">
        <w:t>Prozent</w:t>
      </w:r>
      <w:r>
        <w:t>.</w:t>
      </w:r>
      <w:r w:rsidR="00E8694C">
        <w:t xml:space="preserve"> In München ist das laut </w:t>
      </w:r>
      <w:proofErr w:type="spellStart"/>
      <w:r w:rsidR="00E8694C">
        <w:t>DekaBank</w:t>
      </w:r>
      <w:proofErr w:type="spellEnd"/>
      <w:r w:rsidR="00E8694C">
        <w:t xml:space="preserve"> ein Kaufkraftverlust von rund 807 Mio. Euro </w:t>
      </w:r>
      <w:r w:rsidR="00285310">
        <w:t xml:space="preserve">pro Jahr </w:t>
      </w:r>
      <w:r w:rsidR="00E8694C">
        <w:t>(555 Euro pro Kopf).</w:t>
      </w:r>
      <w:r w:rsidR="00210C8B">
        <w:t xml:space="preserve"> </w:t>
      </w:r>
      <w:r w:rsidR="0024209D" w:rsidRPr="00210C8B">
        <w:rPr>
          <w:color w:val="000000" w:themeColor="text1"/>
        </w:rPr>
        <w:t xml:space="preserve">Kunden der Stadtsparkasse München haben </w:t>
      </w:r>
      <w:r w:rsidR="00210C8B" w:rsidRPr="00210C8B">
        <w:rPr>
          <w:color w:val="000000" w:themeColor="text1"/>
        </w:rPr>
        <w:t>derzeit Einlagen in Höhe von 18,5</w:t>
      </w:r>
      <w:r w:rsidR="0024209D" w:rsidRPr="00210C8B">
        <w:rPr>
          <w:color w:val="000000" w:themeColor="text1"/>
        </w:rPr>
        <w:t xml:space="preserve"> Mrd. Euro</w:t>
      </w:r>
      <w:r w:rsidR="00E8694C" w:rsidRPr="00210C8B">
        <w:rPr>
          <w:color w:val="000000" w:themeColor="text1"/>
        </w:rPr>
        <w:t xml:space="preserve"> </w:t>
      </w:r>
      <w:r w:rsidR="00285310">
        <w:rPr>
          <w:color w:val="000000" w:themeColor="text1"/>
        </w:rPr>
        <w:t>angelegt</w:t>
      </w:r>
      <w:r w:rsidR="00E8694C">
        <w:t>.</w:t>
      </w:r>
      <w:r w:rsidR="00210C8B">
        <w:t xml:space="preserve"> </w:t>
      </w:r>
    </w:p>
    <w:p w:rsidR="00C231D1" w:rsidRDefault="008118C5" w:rsidP="00CE3538">
      <w:pPr>
        <w:pBdr>
          <w:top w:val="nil"/>
          <w:left w:val="nil"/>
          <w:bottom w:val="nil"/>
          <w:right w:val="nil"/>
          <w:between w:val="nil"/>
        </w:pBdr>
        <w:tabs>
          <w:tab w:val="left" w:pos="6804"/>
        </w:tabs>
        <w:spacing w:after="120" w:line="360" w:lineRule="auto"/>
        <w:ind w:right="1983"/>
      </w:pPr>
      <w:r w:rsidRPr="008118C5">
        <w:t>Sparen heut</w:t>
      </w:r>
      <w:r w:rsidR="007465B1">
        <w:t>zutage ist</w:t>
      </w:r>
      <w:r w:rsidRPr="008118C5">
        <w:t xml:space="preserve"> anders </w:t>
      </w:r>
      <w:r w:rsidR="007465B1">
        <w:t xml:space="preserve">zu </w:t>
      </w:r>
      <w:r w:rsidRPr="008118C5">
        <w:t>verstehen als vor 100 Jahren</w:t>
      </w:r>
      <w:r>
        <w:t xml:space="preserve">. </w:t>
      </w:r>
      <w:r w:rsidR="007465B1">
        <w:t>Das</w:t>
      </w:r>
      <w:r w:rsidRPr="008118C5">
        <w:t xml:space="preserve"> Ziel, mit dem </w:t>
      </w:r>
      <w:r w:rsidR="00CC4D70">
        <w:t>regelmäßigen</w:t>
      </w:r>
      <w:r w:rsidRPr="008118C5">
        <w:t xml:space="preserve"> zur Seite legen von Geld ein Vermögen </w:t>
      </w:r>
      <w:r w:rsidR="00CC4D70">
        <w:t>für größere Anschaffungen, der Erfüllung eines Immobilienwunsch</w:t>
      </w:r>
      <w:r w:rsidR="0024209D">
        <w:t>e</w:t>
      </w:r>
      <w:r w:rsidR="00CC4D70">
        <w:t xml:space="preserve">s oder der privaten Altersvorsorge </w:t>
      </w:r>
      <w:r w:rsidRPr="008118C5">
        <w:t>aufzubauen, ist heute genauso wichtig wie damals</w:t>
      </w:r>
      <w:r w:rsidR="00CC4D70">
        <w:t>.</w:t>
      </w:r>
      <w:r w:rsidRPr="008118C5">
        <w:t xml:space="preserve"> </w:t>
      </w:r>
      <w:r w:rsidR="00C231D1">
        <w:t xml:space="preserve">Eine Alternative zum klassischen Sparen auf Sparbuch oder Tagesgeldkonto ist </w:t>
      </w:r>
      <w:r>
        <w:t xml:space="preserve">die Anlage in Fondsanteile. </w:t>
      </w:r>
      <w:r w:rsidR="007465B1">
        <w:t>Aus dem Welt-</w:t>
      </w:r>
      <w:proofErr w:type="spellStart"/>
      <w:r w:rsidR="007465B1">
        <w:t>Spartag</w:t>
      </w:r>
      <w:proofErr w:type="spellEnd"/>
      <w:r w:rsidR="007465B1">
        <w:t xml:space="preserve"> wird daher in einer Neuinterpretation der Welt-Anlagetag.</w:t>
      </w:r>
      <w:r w:rsidR="00E8694C">
        <w:t xml:space="preserve"> Hier ist in München eine leichter Trend zu erkennen: Der Anteil der Fondsbesitzer ist von 2015 bis 2017 von knapp 15 auf knapp 17°Prozent gestiegen.</w:t>
      </w:r>
    </w:p>
    <w:p w:rsidR="0019695C" w:rsidRDefault="008118C5" w:rsidP="00CE3538">
      <w:pPr>
        <w:pBdr>
          <w:top w:val="nil"/>
          <w:left w:val="nil"/>
          <w:bottom w:val="nil"/>
          <w:right w:val="nil"/>
          <w:between w:val="nil"/>
        </w:pBdr>
        <w:tabs>
          <w:tab w:val="left" w:pos="6804"/>
        </w:tabs>
        <w:spacing w:after="120" w:line="360" w:lineRule="auto"/>
        <w:ind w:right="1983"/>
      </w:pPr>
      <w:r>
        <w:t>Die Stadtsparkasse München hat dazu fü</w:t>
      </w:r>
      <w:bookmarkStart w:id="0" w:name="_GoBack"/>
      <w:bookmarkEnd w:id="0"/>
      <w:r>
        <w:t xml:space="preserve">r ihre Kunden </w:t>
      </w:r>
      <w:r w:rsidR="0024209D">
        <w:t xml:space="preserve">seit einem knappen Jahr </w:t>
      </w:r>
      <w:r>
        <w:t>exklusiv einen eigenen Wertpapierfonds</w:t>
      </w:r>
      <w:r w:rsidR="00210C8B">
        <w:t>, den sogenannten</w:t>
      </w:r>
      <w:r>
        <w:t xml:space="preserve"> </w:t>
      </w:r>
      <w:r w:rsidRPr="00DC10CB">
        <w:t>SSKM-Invest</w:t>
      </w:r>
      <w:r w:rsidR="00DC10CB" w:rsidRPr="00DC10CB">
        <w:rPr>
          <w:vertAlign w:val="superscript"/>
        </w:rPr>
        <w:t>5</w:t>
      </w:r>
      <w:r w:rsidR="00210C8B">
        <w:t xml:space="preserve"> im Angebot, der von der Landesbank Baden-Württemberg gemanagt wird</w:t>
      </w:r>
      <w:r>
        <w:t xml:space="preserve">. </w:t>
      </w:r>
      <w:r w:rsidR="001F47B4">
        <w:t>Mittlerweile</w:t>
      </w:r>
      <w:r>
        <w:t xml:space="preserve"> </w:t>
      </w:r>
      <w:r w:rsidR="006422BB">
        <w:t xml:space="preserve">wurde </w:t>
      </w:r>
      <w:r>
        <w:t xml:space="preserve">darin </w:t>
      </w:r>
      <w:r w:rsidR="00CC4D70">
        <w:t xml:space="preserve">bereits </w:t>
      </w:r>
      <w:r>
        <w:t>ein Vermögen von über 100 Mio. Euro investiert.</w:t>
      </w:r>
      <w:r w:rsidR="00CC4D70">
        <w:t xml:space="preserve"> </w:t>
      </w:r>
    </w:p>
    <w:p w:rsidR="007465B1" w:rsidRDefault="008118C5" w:rsidP="00CC4D70">
      <w:pPr>
        <w:pBdr>
          <w:top w:val="nil"/>
          <w:left w:val="nil"/>
          <w:bottom w:val="nil"/>
          <w:right w:val="nil"/>
          <w:between w:val="nil"/>
        </w:pBdr>
        <w:tabs>
          <w:tab w:val="left" w:pos="6804"/>
        </w:tabs>
        <w:spacing w:after="120" w:line="360" w:lineRule="auto"/>
        <w:ind w:right="1983"/>
      </w:pPr>
      <w:r>
        <w:t xml:space="preserve">Wer </w:t>
      </w:r>
      <w:proofErr w:type="gramStart"/>
      <w:r>
        <w:t>das</w:t>
      </w:r>
      <w:proofErr w:type="gramEnd"/>
      <w:r>
        <w:t xml:space="preserve"> </w:t>
      </w:r>
      <w:proofErr w:type="spellStart"/>
      <w:r>
        <w:t>OnlineBanking</w:t>
      </w:r>
      <w:proofErr w:type="spellEnd"/>
      <w:r>
        <w:t xml:space="preserve"> der Stadtsparkasse München nutzt, kann mit diesem Zugang nun auch all seine Vorgänge im </w:t>
      </w:r>
      <w:proofErr w:type="spellStart"/>
      <w:r>
        <w:t>Dekabank</w:t>
      </w:r>
      <w:proofErr w:type="spellEnd"/>
      <w:r>
        <w:t xml:space="preserve">-Depot online erledigen. Und das </w:t>
      </w:r>
      <w:r w:rsidR="00CC4D70">
        <w:t>sieben</w:t>
      </w:r>
      <w:r>
        <w:t xml:space="preserve"> Tage die Woche, 24 Stunden am Tag. Kunden können so Investmentfonds selbstständig kaufen, verkaufen, tauschen und verwalten.</w:t>
      </w:r>
      <w:r w:rsidR="007465B1">
        <w:t xml:space="preserve"> </w:t>
      </w:r>
      <w:r w:rsidR="00CC4D70">
        <w:t xml:space="preserve">Für alle Kunden, die bis 8.11. ein </w:t>
      </w:r>
      <w:proofErr w:type="spellStart"/>
      <w:r w:rsidR="00CC4D70">
        <w:t>DekaBank</w:t>
      </w:r>
      <w:proofErr w:type="spellEnd"/>
      <w:r w:rsidR="00CC4D70">
        <w:t>-</w:t>
      </w:r>
      <w:r w:rsidR="00CC4D70">
        <w:lastRenderedPageBreak/>
        <w:t>Depot</w:t>
      </w:r>
      <w:r w:rsidR="00210C8B">
        <w:t xml:space="preserve"> eröffnen, gibt es das Depot in diesem </w:t>
      </w:r>
      <w:r w:rsidR="00CC4D70">
        <w:t>Jahr kostenlos</w:t>
      </w:r>
      <w:r w:rsidR="00DC10CB" w:rsidRPr="00DC10CB">
        <w:rPr>
          <w:vertAlign w:val="superscript"/>
        </w:rPr>
        <w:t>1/</w:t>
      </w:r>
      <w:r w:rsidR="00DC10CB">
        <w:rPr>
          <w:vertAlign w:val="superscript"/>
        </w:rPr>
        <w:t>2</w:t>
      </w:r>
      <w:r w:rsidR="00CC4D70">
        <w:t>. Für den Abschluss eines Fondssparplans gibt es zudem bis zu 50 Euro Treueprämie</w:t>
      </w:r>
      <w:r w:rsidR="00DC10CB" w:rsidRPr="00DC10CB">
        <w:rPr>
          <w:vertAlign w:val="superscript"/>
        </w:rPr>
        <w:t>3</w:t>
      </w:r>
      <w:r w:rsidR="00CC4D70">
        <w:t xml:space="preserve"> und </w:t>
      </w:r>
      <w:r w:rsidR="001F47B4">
        <w:t xml:space="preserve">für eine Einmalanlage </w:t>
      </w:r>
      <w:r w:rsidR="00CC4D70">
        <w:t>bis zu 100 Euro Startprämie</w:t>
      </w:r>
      <w:r w:rsidR="00DC10CB" w:rsidRPr="00DC10CB">
        <w:rPr>
          <w:vertAlign w:val="superscript"/>
        </w:rPr>
        <w:t>4</w:t>
      </w:r>
      <w:r w:rsidR="00CC4D70">
        <w:t xml:space="preserve">. Details dazu auf </w:t>
      </w:r>
      <w:hyperlink r:id="rId9" w:history="1">
        <w:r w:rsidR="00CC4D70" w:rsidRPr="00480275">
          <w:rPr>
            <w:rStyle w:val="Hyperlink"/>
          </w:rPr>
          <w:t>www.sskm.de</w:t>
        </w:r>
      </w:hyperlink>
      <w:r w:rsidR="00CC4D70">
        <w:t>.</w:t>
      </w:r>
      <w:r w:rsidR="007465B1">
        <w:t xml:space="preserve"> </w:t>
      </w:r>
    </w:p>
    <w:p w:rsidR="00CC4D70" w:rsidRDefault="00CC4D70" w:rsidP="00CC4D70">
      <w:pPr>
        <w:pBdr>
          <w:top w:val="nil"/>
          <w:left w:val="nil"/>
          <w:bottom w:val="nil"/>
          <w:right w:val="nil"/>
          <w:between w:val="nil"/>
        </w:pBdr>
        <w:tabs>
          <w:tab w:val="left" w:pos="6804"/>
        </w:tabs>
        <w:spacing w:after="120" w:line="360" w:lineRule="auto"/>
        <w:ind w:right="1983"/>
      </w:pPr>
      <w:r w:rsidRPr="00CC4D70">
        <w:t>Der erste Weltspartag war am 31. Oktober 1925. Dieses Jahr findet der Weltspartag bereits zum 94. Mal statt – am 30. Oktober 2019 ist es wieder so weit.</w:t>
      </w:r>
      <w:r>
        <w:t xml:space="preserve"> Ein Jahr vor Ausrufen des ersten Weltspartags hatte das Weltinstitut der Sparkassen auf dem ersten Internationalen Sparkassenkongress in Mailand die Einführung des „World </w:t>
      </w:r>
      <w:proofErr w:type="spellStart"/>
      <w:r>
        <w:t>Thrift</w:t>
      </w:r>
      <w:proofErr w:type="spellEnd"/>
      <w:r>
        <w:t xml:space="preserve"> Day“ beschlossen.</w:t>
      </w:r>
      <w:r w:rsidR="007465B1">
        <w:t xml:space="preserve"> </w:t>
      </w:r>
      <w:r>
        <w:t>Das Ziel: Mit kleinen Beträgen über die Jahre ein Vermögen aufbauen – und so den Wert des Geldes schätzen lernen.</w:t>
      </w:r>
    </w:p>
    <w:p w:rsidR="00CA7987" w:rsidRDefault="00F53DC8" w:rsidP="00CC4D70">
      <w:pPr>
        <w:pBdr>
          <w:top w:val="nil"/>
          <w:left w:val="nil"/>
          <w:bottom w:val="nil"/>
          <w:right w:val="nil"/>
          <w:between w:val="nil"/>
        </w:pBdr>
        <w:tabs>
          <w:tab w:val="left" w:pos="6804"/>
        </w:tabs>
        <w:spacing w:after="120" w:line="360" w:lineRule="auto"/>
        <w:ind w:right="1983"/>
      </w:pPr>
      <w:r>
        <w:rPr>
          <w:rFonts w:ascii="Arial" w:hAnsi="Arial" w:cs="Arial"/>
          <w:color w:val="000000"/>
          <w:sz w:val="12"/>
          <w:szCs w:val="12"/>
        </w:rPr>
        <w:t xml:space="preserve">1. Aktion gültig vom 5.8. bis 8.11.2019 und nur für </w:t>
      </w:r>
      <w:proofErr w:type="spellStart"/>
      <w:r>
        <w:rPr>
          <w:rFonts w:ascii="Arial" w:hAnsi="Arial" w:cs="Arial"/>
          <w:color w:val="000000"/>
          <w:sz w:val="12"/>
          <w:szCs w:val="12"/>
        </w:rPr>
        <w:t>DekaBank</w:t>
      </w:r>
      <w:proofErr w:type="spellEnd"/>
      <w:r>
        <w:rPr>
          <w:rFonts w:ascii="Arial" w:hAnsi="Arial" w:cs="Arial"/>
          <w:color w:val="000000"/>
          <w:sz w:val="12"/>
          <w:szCs w:val="12"/>
        </w:rPr>
        <w:t xml:space="preserve"> Depots. Ein Abschluss pro Depot im Aktionszeitraum möglich. Die Start- oder Treueprämie wird mit der Zahlung in voller Höhe versteuert (Möglichkeit zur Erteilung eines Freistellungsauftrages bzw. Beantragung und Vorlage einer Nichtveranlagungsbescheinigung). Die mit der Prämie erworbenen Anteile unterliegen grundsätzlich keinen weiteren steuerlichen Besonderheiten. Bei Ertragsgutschriften und Verfügungen kommen die üblichen steuerlichen Regelungen zur Anwendung, wie sie auch für die Anteile aus den regelmäßigen Einzahlungen gelten. Aussagen gemäß aktueller Rechtslage, Stand: Juli 2019. Die steuerliche Behandlung der Erträge hängt von den persönlichen Verhältnissen des jeweiligen Kunden ab und kann künftig auch rückwirkenden Änderungen (z. B. durch Gesetzesänderung oder geänderte Auslegung durch die Finanzverwaltung) unterworfen sein. Die wesentlichen Anlegerinformationen, Verkaufsprospekte und Berichte erhalten Sie in deutscher Sprache bei Ihrer Sparkasse, Landesbank oder von der </w:t>
      </w:r>
      <w:proofErr w:type="spellStart"/>
      <w:r>
        <w:rPr>
          <w:rFonts w:ascii="Arial" w:hAnsi="Arial" w:cs="Arial"/>
          <w:color w:val="000000"/>
          <w:sz w:val="12"/>
          <w:szCs w:val="12"/>
        </w:rPr>
        <w:t>DekaBank</w:t>
      </w:r>
      <w:proofErr w:type="spellEnd"/>
      <w:r>
        <w:rPr>
          <w:rFonts w:ascii="Arial" w:hAnsi="Arial" w:cs="Arial"/>
          <w:color w:val="000000"/>
          <w:sz w:val="12"/>
          <w:szCs w:val="12"/>
        </w:rPr>
        <w:t>, 60625 Frankfurt und unter </w:t>
      </w:r>
      <w:hyperlink r:id="rId10" w:history="1">
        <w:r>
          <w:rPr>
            <w:rFonts w:ascii="Arial" w:hAnsi="Arial" w:cs="Arial"/>
            <w:color w:val="FF0000"/>
            <w:sz w:val="12"/>
            <w:szCs w:val="12"/>
            <w:u w:val="single"/>
          </w:rPr>
          <w:t>www.deka.de</w:t>
        </w:r>
      </w:hyperlink>
      <w:r>
        <w:rPr>
          <w:rFonts w:ascii="Arial" w:hAnsi="Arial" w:cs="Arial"/>
          <w:color w:val="000000"/>
          <w:sz w:val="12"/>
          <w:szCs w:val="12"/>
        </w:rPr>
        <w:br/>
        <w:t>2. Jeder Kunde, der im o. g Zeitraum ein Depot eröffnet, zahlt für dieses Jahr keine Depotgebühr.</w:t>
      </w:r>
      <w:r>
        <w:rPr>
          <w:rFonts w:ascii="Arial" w:hAnsi="Arial" w:cs="Arial"/>
          <w:color w:val="000000"/>
          <w:sz w:val="12"/>
          <w:szCs w:val="12"/>
        </w:rPr>
        <w:br/>
        <w:t xml:space="preserve">3. Gutschrift einer Treueprämie in Form von Fondsanteilen in Höhe einer monatlichen Sparrate bis max. 50,– Euro je Kunde bei Neuabschluss eines Sparplans in Investmentfonds der </w:t>
      </w:r>
      <w:proofErr w:type="spellStart"/>
      <w:r>
        <w:rPr>
          <w:rFonts w:ascii="Arial" w:hAnsi="Arial" w:cs="Arial"/>
          <w:color w:val="000000"/>
          <w:sz w:val="12"/>
          <w:szCs w:val="12"/>
        </w:rPr>
        <w:t>DekaBank</w:t>
      </w:r>
      <w:proofErr w:type="spellEnd"/>
      <w:r>
        <w:rPr>
          <w:rFonts w:ascii="Arial" w:hAnsi="Arial" w:cs="Arial"/>
          <w:color w:val="000000"/>
          <w:sz w:val="12"/>
          <w:szCs w:val="12"/>
        </w:rPr>
        <w:t xml:space="preserve"> und ihrer Kooperationspartner und einer durchgängigen Spardauer von mindestens 12 Monaten. Die Sparkasse behält sich eine vorzeitige Beendigung des Angebotes vor. Gilt nicht für vermögenswirksame Leistungen und Altersvorsorge-Produkte.</w:t>
      </w:r>
      <w:r>
        <w:rPr>
          <w:rFonts w:ascii="Arial" w:hAnsi="Arial" w:cs="Arial"/>
          <w:color w:val="000000"/>
          <w:sz w:val="12"/>
          <w:szCs w:val="12"/>
        </w:rPr>
        <w:br/>
        <w:t xml:space="preserve">4. Gutschrift einer Startprämie in Form von Fondsanteilen von bis zu 100,- Euro für Ihre Einmalanlage in Classic Fonds (CF) der </w:t>
      </w:r>
      <w:proofErr w:type="spellStart"/>
      <w:r>
        <w:rPr>
          <w:rFonts w:ascii="Arial" w:hAnsi="Arial" w:cs="Arial"/>
          <w:color w:val="000000"/>
          <w:sz w:val="12"/>
          <w:szCs w:val="12"/>
        </w:rPr>
        <w:t>DekaBank</w:t>
      </w:r>
      <w:proofErr w:type="spellEnd"/>
      <w:r>
        <w:rPr>
          <w:rFonts w:ascii="Arial" w:hAnsi="Arial" w:cs="Arial"/>
          <w:color w:val="000000"/>
          <w:sz w:val="12"/>
          <w:szCs w:val="12"/>
        </w:rPr>
        <w:t xml:space="preserve"> und ihrer Kooperationspartner mit einem Ausgabeaufschlag mind. 2 %. Vorausgesetzt wird die Verwahrfähigkeit im </w:t>
      </w:r>
      <w:proofErr w:type="spellStart"/>
      <w:r>
        <w:rPr>
          <w:rFonts w:ascii="Arial" w:hAnsi="Arial" w:cs="Arial"/>
          <w:color w:val="000000"/>
          <w:sz w:val="12"/>
          <w:szCs w:val="12"/>
        </w:rPr>
        <w:t>DekaBank</w:t>
      </w:r>
      <w:proofErr w:type="spellEnd"/>
      <w:r>
        <w:rPr>
          <w:rFonts w:ascii="Arial" w:hAnsi="Arial" w:cs="Arial"/>
          <w:color w:val="000000"/>
          <w:sz w:val="12"/>
          <w:szCs w:val="12"/>
        </w:rPr>
        <w:t xml:space="preserve"> Depot. Die Höhe der Prämie richtet sich nach der Höhe der Einmalanlage und wird pro Kunde einmal vergeben.</w:t>
      </w:r>
      <w:r>
        <w:rPr>
          <w:rFonts w:ascii="Arial" w:hAnsi="Arial" w:cs="Arial"/>
          <w:color w:val="000000"/>
          <w:sz w:val="12"/>
          <w:szCs w:val="12"/>
        </w:rPr>
        <w:br/>
        <w:t xml:space="preserve">5. SSKM </w:t>
      </w:r>
      <w:proofErr w:type="spellStart"/>
      <w:r>
        <w:rPr>
          <w:rFonts w:ascii="Arial" w:hAnsi="Arial" w:cs="Arial"/>
          <w:color w:val="000000"/>
          <w:sz w:val="12"/>
          <w:szCs w:val="12"/>
        </w:rPr>
        <w:t>Invest</w:t>
      </w:r>
      <w:proofErr w:type="spellEnd"/>
      <w:r>
        <w:rPr>
          <w:rFonts w:ascii="Arial" w:hAnsi="Arial" w:cs="Arial"/>
          <w:color w:val="000000"/>
          <w:sz w:val="12"/>
          <w:szCs w:val="12"/>
        </w:rPr>
        <w:t>, ISIN DE000A2H9CP0, allein verbindliche Grundlage für den Anteilserwerb der dargestellten Investmentvermögen sind die jeweils aktuellen Verkaufsunterlagen (Wesentliche Anlegerinformationen, Verkaufsprospekte, Jahres- bzw. Halbjahresberichte). Die Verkaufsunterlagen sind in deutscher Sprache kostenlos in jeder Filiale der Stadtsparkasse München sowie bei der LBBW Asset Management Investmentgesellschaft mbH, Postfach 100351, 70003 Stuttgart sowie unter </w:t>
      </w:r>
      <w:hyperlink r:id="rId11" w:history="1">
        <w:r>
          <w:rPr>
            <w:rFonts w:ascii="Arial" w:hAnsi="Arial" w:cs="Arial"/>
            <w:color w:val="FF0000"/>
            <w:sz w:val="12"/>
            <w:szCs w:val="12"/>
            <w:u w:val="single"/>
          </w:rPr>
          <w:t>www.lbbw-am.de</w:t>
        </w:r>
      </w:hyperlink>
      <w:r>
        <w:rPr>
          <w:rFonts w:ascii="Arial" w:hAnsi="Arial" w:cs="Arial"/>
          <w:color w:val="000000"/>
          <w:sz w:val="12"/>
          <w:szCs w:val="12"/>
        </w:rPr>
        <w:t xml:space="preserve"> erhältlich. Die Fondsgesellschaft darf in Schuldverschreibungen, Schuldscheindarlehen und Geldmarktinstrumente der Bundesrepublik Deutschland und deren Bundesländer mehr als 35 % des Wertes des Sondervermögens anlegen. Für diese Information verantwortlich ist die </w:t>
      </w:r>
      <w:proofErr w:type="spellStart"/>
      <w:r>
        <w:rPr>
          <w:rFonts w:ascii="Arial" w:hAnsi="Arial" w:cs="Arial"/>
          <w:color w:val="000000"/>
          <w:sz w:val="12"/>
          <w:szCs w:val="12"/>
        </w:rPr>
        <w:t>StadtsparkasseMünchen</w:t>
      </w:r>
      <w:proofErr w:type="spellEnd"/>
      <w:r>
        <w:rPr>
          <w:rFonts w:ascii="Arial" w:hAnsi="Arial" w:cs="Arial"/>
          <w:color w:val="000000"/>
          <w:sz w:val="12"/>
          <w:szCs w:val="12"/>
        </w:rPr>
        <w:t>. Die Stadtsparkasse München erhält für den Vertrieb dieser Produkte Zuwendungen.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sidRPr="00287740">
        <w:rPr>
          <w:b/>
          <w:sz w:val="20"/>
        </w:rPr>
        <w:t>Die Stadtsparkasse München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Pr>
          <w:sz w:val="20"/>
        </w:rPr>
        <w:t>J</w:t>
      </w:r>
      <w:r w:rsidRPr="00287740">
        <w:rPr>
          <w:sz w:val="20"/>
        </w:rPr>
        <w:t>eder zweite Münchner vertraut in Geldfragen auf die Stadtsparkasse München, die seit 1824 besteht. Der Marktführer unter den Münchner Banken im Privatkundenbereich, bezogen auf Hauptbankverbindungen, bietet mit 5</w:t>
      </w:r>
      <w:r>
        <w:rPr>
          <w:sz w:val="20"/>
        </w:rPr>
        <w:t>8</w:t>
      </w:r>
      <w:r w:rsidRPr="00287740">
        <w:rPr>
          <w:sz w:val="20"/>
        </w:rPr>
        <w:t xml:space="preserve"> Standorten das mit Abstand dichteste Filialnetz aller Kreditinstitute im Stadtgebiet. Mit ihren Partnern aus der Sparkassen-Finanzgruppe, dem größten Finanzverbund Deutschlands, stellt sie das gesamte Spektrum von Finanzdienstleistungen, Anlagemöglichkeiten und Finanzierungsformen bereit. Auch die S-Apps gehören zu den meistgenutzten Banking-Apps in Deutschland für Smartphone und Tablet.</w:t>
      </w:r>
    </w:p>
    <w:p w:rsidR="00756D7C" w:rsidRPr="000D24F3"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sidRPr="00287740">
        <w:rPr>
          <w:sz w:val="20"/>
        </w:rPr>
        <w:t>Mit einer durchschnittlichen Bilanzsumme von 1</w:t>
      </w:r>
      <w:r>
        <w:rPr>
          <w:sz w:val="20"/>
        </w:rPr>
        <w:t>8</w:t>
      </w:r>
      <w:r w:rsidRPr="00287740">
        <w:rPr>
          <w:sz w:val="20"/>
        </w:rPr>
        <w:t>,</w:t>
      </w:r>
      <w:r>
        <w:rPr>
          <w:sz w:val="20"/>
        </w:rPr>
        <w:t>2</w:t>
      </w:r>
      <w:r w:rsidRPr="00287740">
        <w:rPr>
          <w:sz w:val="20"/>
        </w:rPr>
        <w:t xml:space="preserve"> Milliarden Euro </w:t>
      </w:r>
      <w:r>
        <w:rPr>
          <w:sz w:val="20"/>
        </w:rPr>
        <w:t xml:space="preserve">(2018) </w:t>
      </w:r>
      <w:r w:rsidRPr="00287740">
        <w:rPr>
          <w:sz w:val="20"/>
        </w:rPr>
        <w:t>ist die Stadtsparkasse München die größte bayerische und fünftgrößte deutsche Sparkasse. Das Kreditinstitut beschäftigt 2.2</w:t>
      </w:r>
      <w:r>
        <w:rPr>
          <w:sz w:val="20"/>
        </w:rPr>
        <w:t>00</w:t>
      </w:r>
      <w:r w:rsidRPr="00287740">
        <w:rPr>
          <w:sz w:val="20"/>
        </w:rPr>
        <w:t xml:space="preserve"> Sparkassen-Mitarbeiter und 2</w:t>
      </w:r>
      <w:r>
        <w:rPr>
          <w:sz w:val="20"/>
        </w:rPr>
        <w:t>30</w:t>
      </w:r>
      <w:r w:rsidRPr="00287740">
        <w:rPr>
          <w:sz w:val="20"/>
        </w:rPr>
        <w:t xml:space="preserve"> Auszubildende (Stand 31.12.201</w:t>
      </w:r>
      <w:r>
        <w:rPr>
          <w:sz w:val="20"/>
        </w:rPr>
        <w:t>8</w:t>
      </w:r>
      <w:r w:rsidRPr="00287740">
        <w:rPr>
          <w:sz w:val="20"/>
        </w:rPr>
        <w:t xml:space="preserve">). Als Sparkasse engagiert sie sich in besonderem Maß im gesellschaftlichen und kulturellen Bereich für den Standort München. betterplace.org und die Stadtsparkasse betreiben außerdem für Münchens Bürger eine Online-Spendenplattform unter </w:t>
      </w:r>
      <w:r w:rsidRPr="003A24E8">
        <w:rPr>
          <w:b/>
          <w:sz w:val="20"/>
        </w:rPr>
        <w:t>www.gut-fuer-muenchen.de</w:t>
      </w:r>
      <w:r w:rsidRPr="00287740">
        <w:rPr>
          <w:sz w:val="20"/>
        </w:rPr>
        <w:t>.</w:t>
      </w:r>
    </w:p>
    <w:sectPr w:rsidR="00756D7C" w:rsidRPr="000D24F3" w:rsidSect="001F47B4">
      <w:headerReference w:type="default" r:id="rId12"/>
      <w:footerReference w:type="default" r:id="rId13"/>
      <w:footerReference w:type="first" r:id="rId14"/>
      <w:pgSz w:w="11906" w:h="16838"/>
      <w:pgMar w:top="1843" w:right="1559" w:bottom="1985" w:left="1418" w:header="720" w:footer="5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5" w:rsidRDefault="004F4A15">
      <w:r>
        <w:separator/>
      </w:r>
    </w:p>
  </w:endnote>
  <w:endnote w:type="continuationSeparator" w:id="0">
    <w:p w:rsidR="004F4A15" w:rsidRDefault="004F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parkasse Rg">
    <w:altName w:val="Arial"/>
    <w:panose1 w:val="020B0504050602020204"/>
    <w:charset w:val="00"/>
    <w:family w:val="swiss"/>
    <w:pitch w:val="variable"/>
    <w:sig w:usb0="8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Stadtsparkasse München</w:t>
    </w:r>
    <w:r>
      <w:rPr>
        <w:color w:val="000000"/>
        <w:sz w:val="14"/>
        <w:szCs w:val="14"/>
      </w:rPr>
      <w:tab/>
    </w:r>
    <w:r w:rsidR="003213B3">
      <w:rPr>
        <w:color w:val="000000"/>
        <w:sz w:val="14"/>
        <w:szCs w:val="14"/>
      </w:rPr>
      <w:t>Unternehmenskommunikation</w:t>
    </w:r>
    <w:r>
      <w:rPr>
        <w:color w:val="000000"/>
        <w:sz w:val="14"/>
        <w:szCs w:val="14"/>
      </w:rPr>
      <w:tab/>
      <w:t>Telefon:</w:t>
    </w:r>
    <w:r>
      <w:rPr>
        <w:color w:val="000000"/>
        <w:sz w:val="14"/>
        <w:szCs w:val="14"/>
      </w:rPr>
      <w:tab/>
      <w:t>089 2167-47301</w:t>
    </w:r>
    <w:r>
      <w:rPr>
        <w:color w:val="000000"/>
        <w:sz w:val="14"/>
        <w:szCs w:val="14"/>
      </w:rPr>
      <w:tab/>
      <w:t>Dr. Joachim Fröhler</w:t>
    </w:r>
    <w:r>
      <w:rPr>
        <w:color w:val="000000"/>
        <w:sz w:val="14"/>
        <w:szCs w:val="14"/>
      </w:rPr>
      <w:tab/>
      <w:t>blog.sskm.de</w:t>
    </w:r>
  </w:p>
  <w:p w:rsidR="00756D7C" w:rsidRDefault="00926C0D" w:rsidP="002A3EF0">
    <w:pPr>
      <w:pBdr>
        <w:top w:val="nil"/>
        <w:left w:val="nil"/>
        <w:bottom w:val="nil"/>
        <w:right w:val="nil"/>
        <w:between w:val="nil"/>
      </w:pBdr>
      <w:tabs>
        <w:tab w:val="left" w:pos="2183"/>
        <w:tab w:val="left" w:pos="4395"/>
        <w:tab w:val="left" w:pos="5245"/>
        <w:tab w:val="left" w:pos="6521"/>
      </w:tabs>
      <w:rPr>
        <w:color w:val="000000"/>
        <w:sz w:val="14"/>
        <w:szCs w:val="14"/>
      </w:rPr>
    </w:pPr>
    <w:r>
      <w:rPr>
        <w:noProof/>
      </w:rPr>
      <w:drawing>
        <wp:anchor distT="0" distB="0" distL="114300" distR="114300" simplePos="0" relativeHeight="251660288" behindDoc="0" locked="0" layoutInCell="1" hidden="0" allowOverlap="1" wp14:anchorId="4780B8A3" wp14:editId="303827D2">
          <wp:simplePos x="0" y="0"/>
          <wp:positionH relativeFrom="margin">
            <wp:posOffset>5358130</wp:posOffset>
          </wp:positionH>
          <wp:positionV relativeFrom="paragraph">
            <wp:posOffset>76200</wp:posOffset>
          </wp:positionV>
          <wp:extent cx="128270" cy="128270"/>
          <wp:effectExtent l="0" t="0" r="5080" b="5080"/>
          <wp:wrapSquare wrapText="bothSides" distT="0" distB="0" distL="114300" distR="114300"/>
          <wp:docPr id="2" name="image4.jpg" descr="FB-fLogo-Blue-printpackaging"/>
          <wp:cNvGraphicFramePr/>
          <a:graphic xmlns:a="http://schemas.openxmlformats.org/drawingml/2006/main">
            <a:graphicData uri="http://schemas.openxmlformats.org/drawingml/2006/picture">
              <pic:pic xmlns:pic="http://schemas.openxmlformats.org/drawingml/2006/picture">
                <pic:nvPicPr>
                  <pic:cNvPr id="0" name="image4.jpg" descr="FB-fLogo-Blue-printpackaging"/>
                  <pic:cNvPicPr preferRelativeResize="0"/>
                </pic:nvPicPr>
                <pic:blipFill>
                  <a:blip r:embed="rId1"/>
                  <a:srcRect/>
                  <a:stretch>
                    <a:fillRect/>
                  </a:stretch>
                </pic:blipFill>
                <pic:spPr>
                  <a:xfrm>
                    <a:off x="0" y="0"/>
                    <a:ext cx="128270" cy="128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5C7EA0" wp14:editId="7872AA12">
          <wp:simplePos x="0" y="0"/>
          <wp:positionH relativeFrom="margin">
            <wp:posOffset>4932045</wp:posOffset>
          </wp:positionH>
          <wp:positionV relativeFrom="paragraph">
            <wp:posOffset>20320</wp:posOffset>
          </wp:positionV>
          <wp:extent cx="399415" cy="237490"/>
          <wp:effectExtent l="0" t="0" r="635" b="0"/>
          <wp:wrapSquare wrapText="bothSides" distT="0" distB="0" distL="114300" distR="114300"/>
          <wp:docPr id="3" name="image6.jpg" descr="XING_300dpi_ohne_Claim"/>
          <wp:cNvGraphicFramePr/>
          <a:graphic xmlns:a="http://schemas.openxmlformats.org/drawingml/2006/main">
            <a:graphicData uri="http://schemas.openxmlformats.org/drawingml/2006/picture">
              <pic:pic xmlns:pic="http://schemas.openxmlformats.org/drawingml/2006/picture">
                <pic:nvPicPr>
                  <pic:cNvPr id="0" name="image6.jpg" descr="XING_300dpi_ohne_Claim"/>
                  <pic:cNvPicPr preferRelativeResize="0"/>
                </pic:nvPicPr>
                <pic:blipFill>
                  <a:blip r:embed="rId2"/>
                  <a:srcRect/>
                  <a:stretch>
                    <a:fillRect/>
                  </a:stretch>
                </pic:blipFill>
                <pic:spPr>
                  <a:xfrm>
                    <a:off x="0" y="0"/>
                    <a:ext cx="399415" cy="2374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14"/>
        <w:szCs w:val="14"/>
      </w:rPr>
      <w:drawing>
        <wp:anchor distT="0" distB="0" distL="114300" distR="114300" simplePos="0" relativeHeight="251661312" behindDoc="0" locked="0" layoutInCell="1" allowOverlap="1" wp14:anchorId="61F36EBF" wp14:editId="52EC791E">
          <wp:simplePos x="0" y="0"/>
          <wp:positionH relativeFrom="column">
            <wp:posOffset>5572125</wp:posOffset>
          </wp:positionH>
          <wp:positionV relativeFrom="paragraph">
            <wp:posOffset>81915</wp:posOffset>
          </wp:positionV>
          <wp:extent cx="132715" cy="13652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630x353.jpg"/>
                  <pic:cNvPicPr/>
                </pic:nvPicPr>
                <pic:blipFill rotWithShape="1">
                  <a:blip r:embed="rId3" cstate="print">
                    <a:extLst>
                      <a:ext uri="{28A0092B-C50C-407E-A947-70E740481C1C}">
                        <a14:useLocalDpi xmlns:a14="http://schemas.microsoft.com/office/drawing/2010/main" val="0"/>
                      </a:ext>
                    </a:extLst>
                  </a:blip>
                  <a:srcRect l="28895" t="10209" r="28715" b="12304"/>
                  <a:stretch/>
                </pic:blipFill>
                <pic:spPr bwMode="auto">
                  <a:xfrm>
                    <a:off x="0" y="0"/>
                    <a:ext cx="132715" cy="136525"/>
                  </a:xfrm>
                  <a:prstGeom prst="rect">
                    <a:avLst/>
                  </a:prstGeom>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DAC">
      <w:rPr>
        <w:color w:val="000000"/>
        <w:sz w:val="14"/>
        <w:szCs w:val="14"/>
      </w:rPr>
      <w:t>Anstalt des öffentlichen Rechts</w:t>
    </w:r>
    <w:r w:rsidR="00B03DAC">
      <w:rPr>
        <w:color w:val="000000"/>
        <w:sz w:val="14"/>
        <w:szCs w:val="14"/>
      </w:rPr>
      <w:tab/>
    </w:r>
    <w:r w:rsidR="003213B3">
      <w:rPr>
        <w:color w:val="000000"/>
        <w:sz w:val="14"/>
        <w:szCs w:val="14"/>
      </w:rPr>
      <w:t>Presse u. externe Kommunikation</w:t>
    </w:r>
    <w:r w:rsidR="002A3EF0">
      <w:rPr>
        <w:color w:val="000000"/>
        <w:sz w:val="14"/>
        <w:szCs w:val="14"/>
      </w:rPr>
      <w:tab/>
    </w:r>
    <w:r w:rsidR="00B03DAC">
      <w:rPr>
        <w:color w:val="000000"/>
        <w:sz w:val="14"/>
        <w:szCs w:val="14"/>
      </w:rPr>
      <w:t>Telefax:</w:t>
    </w:r>
    <w:r w:rsidR="00B03DAC">
      <w:rPr>
        <w:color w:val="000000"/>
        <w:sz w:val="14"/>
        <w:szCs w:val="14"/>
      </w:rPr>
      <w:tab/>
      <w:t>089 2167-947301</w:t>
    </w:r>
    <w:r w:rsidR="00B03DAC">
      <w:rPr>
        <w:color w:val="000000"/>
        <w:sz w:val="14"/>
        <w:szCs w:val="14"/>
      </w:rPr>
      <w:tab/>
      <w:t>Pressesprecher</w:t>
    </w:r>
  </w:p>
  <w:p w:rsidR="00756D7C" w:rsidRDefault="00B03DAC" w:rsidP="002A3EF0">
    <w:pPr>
      <w:pBdr>
        <w:top w:val="nil"/>
        <w:left w:val="nil"/>
        <w:bottom w:val="nil"/>
        <w:right w:val="nil"/>
        <w:between w:val="nil"/>
      </w:pBdr>
      <w:tabs>
        <w:tab w:val="left" w:pos="2183"/>
        <w:tab w:val="left" w:pos="4395"/>
        <w:tab w:val="left" w:pos="5245"/>
        <w:tab w:val="left" w:pos="6521"/>
      </w:tabs>
      <w:rPr>
        <w:noProof/>
        <w:color w:val="000000"/>
        <w:sz w:val="14"/>
        <w:szCs w:val="14"/>
      </w:rPr>
    </w:pPr>
    <w:r>
      <w:rPr>
        <w:color w:val="000000"/>
        <w:sz w:val="14"/>
        <w:szCs w:val="14"/>
      </w:rPr>
      <w:t>Amtsgericht München</w:t>
    </w:r>
    <w:r>
      <w:rPr>
        <w:color w:val="000000"/>
        <w:sz w:val="14"/>
        <w:szCs w:val="14"/>
      </w:rPr>
      <w:tab/>
      <w:t>Sparkassenstraße 2</w:t>
    </w:r>
    <w:r>
      <w:rPr>
        <w:color w:val="000000"/>
        <w:sz w:val="14"/>
        <w:szCs w:val="14"/>
      </w:rPr>
      <w:tab/>
    </w:r>
    <w:hyperlink r:id="rId4">
      <w:r>
        <w:rPr>
          <w:color w:val="000000"/>
          <w:sz w:val="14"/>
          <w:szCs w:val="14"/>
        </w:rPr>
        <w:t>presse@sskm.de</w:t>
      </w:r>
    </w:hyperlink>
    <w:r w:rsidR="00085EFF">
      <w:rPr>
        <w:color w:val="000000"/>
        <w:sz w:val="14"/>
        <w:szCs w:val="14"/>
      </w:rPr>
      <w:tab/>
    </w:r>
    <w:r w:rsidR="00C31996">
      <w:rPr>
        <w:color w:val="000000" w:themeColor="text1"/>
        <w:sz w:val="14"/>
        <w:szCs w:val="14"/>
      </w:rPr>
      <w:t>25</w:t>
    </w:r>
    <w:r w:rsidR="00474DC0" w:rsidRPr="00474DC0">
      <w:rPr>
        <w:color w:val="000000" w:themeColor="text1"/>
        <w:sz w:val="14"/>
        <w:szCs w:val="14"/>
      </w:rPr>
      <w:t>.10</w:t>
    </w:r>
    <w:r w:rsidR="003213B3" w:rsidRPr="00474DC0">
      <w:rPr>
        <w:color w:val="000000" w:themeColor="text1"/>
        <w:sz w:val="14"/>
        <w:szCs w:val="14"/>
      </w:rPr>
      <w:t>.2019</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HRA 75459</w:t>
    </w:r>
    <w:r>
      <w:rPr>
        <w:color w:val="000000"/>
        <w:sz w:val="14"/>
        <w:szCs w:val="14"/>
      </w:rPr>
      <w:tab/>
      <w:t>80791 München</w:t>
    </w:r>
    <w:r>
      <w:rPr>
        <w:color w:val="000000"/>
        <w:sz w:val="14"/>
        <w:szCs w:val="14"/>
      </w:rPr>
      <w:tab/>
      <w:t>presse.sskm.de</w:t>
    </w:r>
    <w:r>
      <w:rPr>
        <w:color w:val="000000"/>
        <w:sz w:val="14"/>
        <w:szCs w:val="14"/>
      </w:rPr>
      <w:tab/>
      <w:t>Seite</w:t>
    </w:r>
    <w:r w:rsidR="00FC63F9">
      <w:rPr>
        <w:color w:val="000000"/>
        <w:sz w:val="14"/>
        <w:szCs w:val="14"/>
      </w:rPr>
      <w:tab/>
    </w:r>
    <w:r>
      <w:rPr>
        <w:color w:val="000000"/>
        <w:sz w:val="14"/>
        <w:szCs w:val="14"/>
      </w:rPr>
      <w:fldChar w:fldCharType="begin"/>
    </w:r>
    <w:r>
      <w:rPr>
        <w:color w:val="000000"/>
        <w:sz w:val="14"/>
        <w:szCs w:val="14"/>
      </w:rPr>
      <w:instrText>PAGE</w:instrText>
    </w:r>
    <w:r>
      <w:rPr>
        <w:color w:val="000000"/>
        <w:sz w:val="14"/>
        <w:szCs w:val="14"/>
      </w:rPr>
      <w:fldChar w:fldCharType="separate"/>
    </w:r>
    <w:r w:rsidR="00285310">
      <w:rPr>
        <w:noProof/>
        <w:color w:val="000000"/>
        <w:sz w:val="14"/>
        <w:szCs w:val="14"/>
      </w:rPr>
      <w:t>2</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285310">
      <w:rPr>
        <w:noProof/>
        <w:color w:val="000000"/>
        <w:sz w:val="14"/>
        <w:szCs w:val="14"/>
      </w:rPr>
      <w:t>2</w:t>
    </w:r>
    <w:r>
      <w:rPr>
        <w:color w:val="000000"/>
        <w:sz w:val="14"/>
        <w:szCs w:val="14"/>
      </w:rPr>
      <w:fldChar w:fldCharType="end"/>
    </w:r>
    <w:r w:rsidR="00C16A42">
      <w:rPr>
        <w:noProof/>
        <w:color w:val="000000"/>
        <w:sz w:val="14"/>
        <w:szCs w:val="14"/>
      </w:rPr>
      <w:drawing>
        <wp:inline distT="0" distB="0" distL="0" distR="0" wp14:anchorId="7A2A4CFA" wp14:editId="43D81280">
          <wp:extent cx="5669915" cy="566610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instagram-png-logo-1455.png"/>
                  <pic:cNvPicPr/>
                </pic:nvPicPr>
                <pic:blipFill>
                  <a:blip r:embed="rId5">
                    <a:extLst>
                      <a:ext uri="{28A0092B-C50C-407E-A947-70E740481C1C}">
                        <a14:useLocalDpi xmlns:a14="http://schemas.microsoft.com/office/drawing/2010/main" val="0"/>
                      </a:ext>
                    </a:extLst>
                  </a:blip>
                  <a:stretch>
                    <a:fillRect/>
                  </a:stretch>
                </pic:blipFill>
                <pic:spPr>
                  <a:xfrm>
                    <a:off x="0" y="0"/>
                    <a:ext cx="5669915" cy="56661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Stadtsparkasse München</w:t>
    </w:r>
    <w:r>
      <w:rPr>
        <w:rFonts w:ascii="Arial" w:eastAsia="Arial" w:hAnsi="Arial" w:cs="Arial"/>
        <w:color w:val="000000"/>
        <w:sz w:val="18"/>
        <w:szCs w:val="18"/>
      </w:rPr>
      <w:tab/>
      <w:t>Telefon:</w:t>
    </w:r>
    <w:r>
      <w:rPr>
        <w:rFonts w:ascii="Arial" w:eastAsia="Arial" w:hAnsi="Arial" w:cs="Arial"/>
        <w:color w:val="000000"/>
        <w:sz w:val="18"/>
        <w:szCs w:val="18"/>
      </w:rPr>
      <w:tab/>
      <w:t>(0 89) 21 67 - 61 69</w:t>
    </w:r>
    <w:r>
      <w:rPr>
        <w:rFonts w:ascii="Arial" w:eastAsia="Arial" w:hAnsi="Arial" w:cs="Arial"/>
        <w:color w:val="000000"/>
        <w:sz w:val="18"/>
        <w:szCs w:val="18"/>
      </w:rPr>
      <w:tab/>
      <w:t>Dr. Joachim Fröhler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UK-Presse</w:t>
    </w:r>
    <w:r>
      <w:rPr>
        <w:rFonts w:ascii="Arial" w:eastAsia="Arial" w:hAnsi="Arial" w:cs="Arial"/>
        <w:color w:val="000000"/>
        <w:sz w:val="18"/>
        <w:szCs w:val="18"/>
      </w:rPr>
      <w:tab/>
      <w:t>Telefax:</w:t>
    </w:r>
    <w:r>
      <w:rPr>
        <w:rFonts w:ascii="Arial" w:eastAsia="Arial" w:hAnsi="Arial" w:cs="Arial"/>
        <w:color w:val="000000"/>
        <w:sz w:val="18"/>
        <w:szCs w:val="18"/>
      </w:rPr>
      <w:tab/>
      <w:t>(0 89) 21 67 - 61 67</w:t>
    </w:r>
    <w:r>
      <w:rPr>
        <w:rFonts w:ascii="Arial" w:eastAsia="Arial" w:hAnsi="Arial" w:cs="Arial"/>
        <w:color w:val="000000"/>
        <w:sz w:val="18"/>
        <w:szCs w:val="18"/>
      </w:rPr>
      <w:tab/>
      <w:t>Pressesprecher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Sparkassenstraße 2</w:t>
    </w:r>
    <w:r>
      <w:rPr>
        <w:rFonts w:ascii="Arial" w:eastAsia="Arial" w:hAnsi="Arial" w:cs="Arial"/>
        <w:color w:val="000000"/>
        <w:sz w:val="18"/>
        <w:szCs w:val="18"/>
      </w:rPr>
      <w:tab/>
      <w:t>E-Mail:</w:t>
    </w:r>
    <w:r>
      <w:rPr>
        <w:rFonts w:ascii="Arial" w:eastAsia="Arial" w:hAnsi="Arial" w:cs="Arial"/>
        <w:color w:val="000000"/>
        <w:sz w:val="18"/>
        <w:szCs w:val="18"/>
      </w:rPr>
      <w:tab/>
      <w:t xml:space="preserve">presse@sskm.de </w:t>
    </w:r>
    <w:r>
      <w:rPr>
        <w:rFonts w:ascii="Arial" w:eastAsia="Arial" w:hAnsi="Arial" w:cs="Arial"/>
        <w:color w:val="000000"/>
        <w:sz w:val="18"/>
        <w:szCs w:val="18"/>
      </w:rPr>
      <w:tab/>
      <w:t>DATUM</w:t>
    </w:r>
  </w:p>
  <w:p w:rsidR="00756D7C" w:rsidRDefault="00B03DAC">
    <w:pPr>
      <w:pBdr>
        <w:top w:val="nil"/>
        <w:left w:val="nil"/>
        <w:bottom w:val="nil"/>
        <w:right w:val="nil"/>
        <w:between w:val="nil"/>
      </w:pBdr>
      <w:tabs>
        <w:tab w:val="left" w:pos="2977"/>
        <w:tab w:val="left" w:pos="3828"/>
        <w:tab w:val="left" w:pos="6663"/>
        <w:tab w:val="left" w:pos="6804"/>
      </w:tabs>
      <w:rPr>
        <w:rFonts w:ascii="Arial" w:eastAsia="Arial" w:hAnsi="Arial" w:cs="Arial"/>
        <w:color w:val="000000"/>
        <w:sz w:val="16"/>
        <w:szCs w:val="16"/>
      </w:rPr>
    </w:pPr>
    <w:r>
      <w:rPr>
        <w:rFonts w:ascii="Arial" w:eastAsia="Arial" w:hAnsi="Arial" w:cs="Arial"/>
        <w:color w:val="000000"/>
        <w:sz w:val="18"/>
        <w:szCs w:val="18"/>
      </w:rPr>
      <w:t>80331 München</w:t>
    </w:r>
    <w:r>
      <w:rPr>
        <w:rFonts w:ascii="Arial" w:eastAsia="Arial" w:hAnsi="Arial" w:cs="Arial"/>
        <w:color w:val="000000"/>
        <w:sz w:val="18"/>
        <w:szCs w:val="18"/>
      </w:rPr>
      <w:tab/>
    </w:r>
    <w:hyperlink r:id="rId1">
      <w:r>
        <w:rPr>
          <w:rFonts w:ascii="Arial" w:eastAsia="Arial" w:hAnsi="Arial" w:cs="Arial"/>
          <w:color w:val="000000"/>
          <w:sz w:val="18"/>
          <w:szCs w:val="18"/>
        </w:rPr>
        <w:t>www.sskm.de/presse</w:t>
      </w:r>
    </w:hyperlink>
    <w:r>
      <w:rPr>
        <w:rFonts w:ascii="Arial" w:eastAsia="Arial" w:hAnsi="Arial" w:cs="Arial"/>
        <w:color w:val="000000"/>
        <w:sz w:val="18"/>
        <w:szCs w:val="18"/>
      </w:rPr>
      <w:tab/>
      <w:t xml:space="preserve">Seite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31996">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5" w:rsidRDefault="004F4A15">
      <w:r>
        <w:separator/>
      </w:r>
    </w:p>
  </w:footnote>
  <w:footnote w:type="continuationSeparator" w:id="0">
    <w:p w:rsidR="004F4A15" w:rsidRDefault="004F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center" w:pos="7230"/>
      </w:tabs>
      <w:rPr>
        <w:color w:val="000000"/>
      </w:rPr>
    </w:pPr>
    <w:r>
      <w:rPr>
        <w:noProof/>
      </w:rPr>
      <w:drawing>
        <wp:anchor distT="0" distB="0" distL="114300" distR="114300" simplePos="0" relativeHeight="251658240" behindDoc="0" locked="0" layoutInCell="1" hidden="0" allowOverlap="1" wp14:anchorId="09F19A88" wp14:editId="14C206BC">
          <wp:simplePos x="0" y="0"/>
          <wp:positionH relativeFrom="margin">
            <wp:posOffset>-390524</wp:posOffset>
          </wp:positionH>
          <wp:positionV relativeFrom="paragraph">
            <wp:posOffset>-86359</wp:posOffset>
          </wp:positionV>
          <wp:extent cx="3060700" cy="614680"/>
          <wp:effectExtent l="0" t="0" r="0" b="0"/>
          <wp:wrapNone/>
          <wp:docPr id="1" name="image2.png" descr="VolumeAgentur:1_Kunden:SSKM:SSK_2015:24_Wordvorlage-Pressemitteilung:00_Input:Logo-jpeg:sskm-logo-cmyk.jpg"/>
          <wp:cNvGraphicFramePr/>
          <a:graphic xmlns:a="http://schemas.openxmlformats.org/drawingml/2006/main">
            <a:graphicData uri="http://schemas.openxmlformats.org/drawingml/2006/picture">
              <pic:pic xmlns:pic="http://schemas.openxmlformats.org/drawingml/2006/picture">
                <pic:nvPicPr>
                  <pic:cNvPr id="0" name="image2.png" descr="VolumeAgentur:1_Kunden:SSKM:SSK_2015:24_Wordvorlage-Pressemitteilung:00_Input:Logo-jpeg:sskm-logo-cmyk.jpg"/>
                  <pic:cNvPicPr preferRelativeResize="0"/>
                </pic:nvPicPr>
                <pic:blipFill>
                  <a:blip r:embed="rId1"/>
                  <a:srcRect/>
                  <a:stretch>
                    <a:fillRect/>
                  </a:stretch>
                </pic:blipFill>
                <pic:spPr>
                  <a:xfrm>
                    <a:off x="0" y="0"/>
                    <a:ext cx="3060700" cy="614680"/>
                  </a:xfrm>
                  <a:prstGeom prst="rect">
                    <a:avLst/>
                  </a:prstGeom>
                  <a:ln/>
                </pic:spPr>
              </pic:pic>
            </a:graphicData>
          </a:graphic>
        </wp:anchor>
      </w:drawing>
    </w:r>
  </w:p>
  <w:p w:rsidR="00756D7C" w:rsidRDefault="00756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43AD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1F1624A"/>
    <w:multiLevelType w:val="hybridMultilevel"/>
    <w:tmpl w:val="D2FEF27C"/>
    <w:lvl w:ilvl="0" w:tplc="943EB6FE">
      <w:numFmt w:val="bullet"/>
      <w:lvlText w:val="-"/>
      <w:lvlJc w:val="left"/>
      <w:pPr>
        <w:ind w:left="720" w:hanging="360"/>
      </w:pPr>
      <w:rPr>
        <w:rFonts w:ascii="Sparkasse Rg" w:eastAsia="Times New Roman" w:hAnsi="Sparkasse Rg"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444A30"/>
    <w:multiLevelType w:val="hybridMultilevel"/>
    <w:tmpl w:val="4DBEEEA6"/>
    <w:lvl w:ilvl="0" w:tplc="66BA61A4">
      <w:numFmt w:val="bullet"/>
      <w:lvlText w:val="-"/>
      <w:lvlJc w:val="left"/>
      <w:pPr>
        <w:ind w:left="720" w:hanging="360"/>
      </w:pPr>
      <w:rPr>
        <w:rFonts w:ascii="Sparkasse Rg" w:eastAsia="Sparkasse Rg" w:hAnsi="Sparkasse Rg" w:cs="Sparkasse R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
  <w:rsids>
    <w:rsidRoot w:val="00756D7C"/>
    <w:rsid w:val="000027A4"/>
    <w:rsid w:val="00005C6F"/>
    <w:rsid w:val="000065AC"/>
    <w:rsid w:val="0002088C"/>
    <w:rsid w:val="00031EC9"/>
    <w:rsid w:val="000607C6"/>
    <w:rsid w:val="000659B0"/>
    <w:rsid w:val="00067EE2"/>
    <w:rsid w:val="000740E7"/>
    <w:rsid w:val="00082DD5"/>
    <w:rsid w:val="00085EFF"/>
    <w:rsid w:val="00090A86"/>
    <w:rsid w:val="00091B6A"/>
    <w:rsid w:val="000921AC"/>
    <w:rsid w:val="00097DA6"/>
    <w:rsid w:val="000B5FCE"/>
    <w:rsid w:val="000C1DB2"/>
    <w:rsid w:val="000D24F3"/>
    <w:rsid w:val="000D49AE"/>
    <w:rsid w:val="000D5B03"/>
    <w:rsid w:val="000E2998"/>
    <w:rsid w:val="000F5333"/>
    <w:rsid w:val="00105C2B"/>
    <w:rsid w:val="00124FBB"/>
    <w:rsid w:val="001263B9"/>
    <w:rsid w:val="0013061E"/>
    <w:rsid w:val="001443E3"/>
    <w:rsid w:val="0015698D"/>
    <w:rsid w:val="0018388E"/>
    <w:rsid w:val="0019695C"/>
    <w:rsid w:val="001A022E"/>
    <w:rsid w:val="001A7DE4"/>
    <w:rsid w:val="001B1F62"/>
    <w:rsid w:val="001B3219"/>
    <w:rsid w:val="001C03FA"/>
    <w:rsid w:val="001D6E4F"/>
    <w:rsid w:val="001E2992"/>
    <w:rsid w:val="001E57BE"/>
    <w:rsid w:val="001F056C"/>
    <w:rsid w:val="001F47B4"/>
    <w:rsid w:val="001F7936"/>
    <w:rsid w:val="00210C8B"/>
    <w:rsid w:val="00215D99"/>
    <w:rsid w:val="00223D75"/>
    <w:rsid w:val="0024209D"/>
    <w:rsid w:val="00260062"/>
    <w:rsid w:val="0026075A"/>
    <w:rsid w:val="00263515"/>
    <w:rsid w:val="00264914"/>
    <w:rsid w:val="002845CB"/>
    <w:rsid w:val="00285310"/>
    <w:rsid w:val="00290FB9"/>
    <w:rsid w:val="002937E9"/>
    <w:rsid w:val="00293F72"/>
    <w:rsid w:val="00295AAC"/>
    <w:rsid w:val="002A3EF0"/>
    <w:rsid w:val="002A61FE"/>
    <w:rsid w:val="002B1CEA"/>
    <w:rsid w:val="002C3FDF"/>
    <w:rsid w:val="002D3156"/>
    <w:rsid w:val="002E244E"/>
    <w:rsid w:val="002E37E7"/>
    <w:rsid w:val="002E674C"/>
    <w:rsid w:val="002F1083"/>
    <w:rsid w:val="00303F67"/>
    <w:rsid w:val="003129C9"/>
    <w:rsid w:val="00317FED"/>
    <w:rsid w:val="00320670"/>
    <w:rsid w:val="003213B3"/>
    <w:rsid w:val="00330287"/>
    <w:rsid w:val="003350F4"/>
    <w:rsid w:val="00335BF3"/>
    <w:rsid w:val="0034338E"/>
    <w:rsid w:val="00346ACF"/>
    <w:rsid w:val="003530C6"/>
    <w:rsid w:val="003555C8"/>
    <w:rsid w:val="003602C4"/>
    <w:rsid w:val="003915D2"/>
    <w:rsid w:val="003B127B"/>
    <w:rsid w:val="003B2CCA"/>
    <w:rsid w:val="003B35DC"/>
    <w:rsid w:val="003D65FB"/>
    <w:rsid w:val="003E3640"/>
    <w:rsid w:val="003F2E37"/>
    <w:rsid w:val="00400FA1"/>
    <w:rsid w:val="004061A9"/>
    <w:rsid w:val="00422389"/>
    <w:rsid w:val="00443FC1"/>
    <w:rsid w:val="00444E18"/>
    <w:rsid w:val="00455FBB"/>
    <w:rsid w:val="0045645E"/>
    <w:rsid w:val="00467189"/>
    <w:rsid w:val="00474DC0"/>
    <w:rsid w:val="0049129A"/>
    <w:rsid w:val="00491949"/>
    <w:rsid w:val="00494104"/>
    <w:rsid w:val="004D6CE9"/>
    <w:rsid w:val="004E7E9B"/>
    <w:rsid w:val="004F4A15"/>
    <w:rsid w:val="0053210C"/>
    <w:rsid w:val="0055675D"/>
    <w:rsid w:val="00560295"/>
    <w:rsid w:val="00562A82"/>
    <w:rsid w:val="00567E4E"/>
    <w:rsid w:val="00570562"/>
    <w:rsid w:val="00583AA2"/>
    <w:rsid w:val="00587EEF"/>
    <w:rsid w:val="00594065"/>
    <w:rsid w:val="005A0445"/>
    <w:rsid w:val="005D4A9C"/>
    <w:rsid w:val="005F5E78"/>
    <w:rsid w:val="006031A6"/>
    <w:rsid w:val="006061B3"/>
    <w:rsid w:val="0062060E"/>
    <w:rsid w:val="006422BB"/>
    <w:rsid w:val="00652D0B"/>
    <w:rsid w:val="00660B99"/>
    <w:rsid w:val="00667BFA"/>
    <w:rsid w:val="00673934"/>
    <w:rsid w:val="0069083C"/>
    <w:rsid w:val="006A7EBB"/>
    <w:rsid w:val="006B05A2"/>
    <w:rsid w:val="006C6A0A"/>
    <w:rsid w:val="006D3FBA"/>
    <w:rsid w:val="006F6241"/>
    <w:rsid w:val="00712729"/>
    <w:rsid w:val="00724121"/>
    <w:rsid w:val="00734124"/>
    <w:rsid w:val="00735E3D"/>
    <w:rsid w:val="00741C01"/>
    <w:rsid w:val="007465B1"/>
    <w:rsid w:val="00756D7C"/>
    <w:rsid w:val="00765872"/>
    <w:rsid w:val="00766EA4"/>
    <w:rsid w:val="00785B7F"/>
    <w:rsid w:val="0079034F"/>
    <w:rsid w:val="0079633A"/>
    <w:rsid w:val="007E7684"/>
    <w:rsid w:val="007F1255"/>
    <w:rsid w:val="007F23C1"/>
    <w:rsid w:val="007F416A"/>
    <w:rsid w:val="008118C5"/>
    <w:rsid w:val="00827344"/>
    <w:rsid w:val="008639F8"/>
    <w:rsid w:val="00886B6B"/>
    <w:rsid w:val="00893F34"/>
    <w:rsid w:val="008940B9"/>
    <w:rsid w:val="008C2668"/>
    <w:rsid w:val="008D0915"/>
    <w:rsid w:val="008D0E69"/>
    <w:rsid w:val="008D2459"/>
    <w:rsid w:val="008E1088"/>
    <w:rsid w:val="008E4D15"/>
    <w:rsid w:val="0090015C"/>
    <w:rsid w:val="00926C0D"/>
    <w:rsid w:val="00933CD1"/>
    <w:rsid w:val="009453D5"/>
    <w:rsid w:val="00951C40"/>
    <w:rsid w:val="00953C33"/>
    <w:rsid w:val="0096674D"/>
    <w:rsid w:val="00970C1D"/>
    <w:rsid w:val="00974BE9"/>
    <w:rsid w:val="00975E4F"/>
    <w:rsid w:val="00981615"/>
    <w:rsid w:val="00981BE2"/>
    <w:rsid w:val="00991386"/>
    <w:rsid w:val="009B3DFA"/>
    <w:rsid w:val="009D6D64"/>
    <w:rsid w:val="009D7C40"/>
    <w:rsid w:val="009E0B63"/>
    <w:rsid w:val="009F33C8"/>
    <w:rsid w:val="00A156CA"/>
    <w:rsid w:val="00A37B21"/>
    <w:rsid w:val="00A4056B"/>
    <w:rsid w:val="00A534E7"/>
    <w:rsid w:val="00A60AA9"/>
    <w:rsid w:val="00A92DE3"/>
    <w:rsid w:val="00AB2336"/>
    <w:rsid w:val="00AB5892"/>
    <w:rsid w:val="00AC6A0C"/>
    <w:rsid w:val="00AE545C"/>
    <w:rsid w:val="00AF259E"/>
    <w:rsid w:val="00AF4046"/>
    <w:rsid w:val="00B03DAC"/>
    <w:rsid w:val="00B05287"/>
    <w:rsid w:val="00B0636C"/>
    <w:rsid w:val="00B12690"/>
    <w:rsid w:val="00B226DA"/>
    <w:rsid w:val="00B2368E"/>
    <w:rsid w:val="00B40BCF"/>
    <w:rsid w:val="00B466D9"/>
    <w:rsid w:val="00B54FBA"/>
    <w:rsid w:val="00B642AB"/>
    <w:rsid w:val="00B75E42"/>
    <w:rsid w:val="00B9628F"/>
    <w:rsid w:val="00BA007E"/>
    <w:rsid w:val="00BB04A2"/>
    <w:rsid w:val="00BB39D6"/>
    <w:rsid w:val="00BC4599"/>
    <w:rsid w:val="00BD2C8C"/>
    <w:rsid w:val="00BE3832"/>
    <w:rsid w:val="00BF2A00"/>
    <w:rsid w:val="00C0256F"/>
    <w:rsid w:val="00C16A42"/>
    <w:rsid w:val="00C22066"/>
    <w:rsid w:val="00C231D1"/>
    <w:rsid w:val="00C26BB7"/>
    <w:rsid w:val="00C2732A"/>
    <w:rsid w:val="00C31996"/>
    <w:rsid w:val="00C32CA7"/>
    <w:rsid w:val="00C633A0"/>
    <w:rsid w:val="00C65E16"/>
    <w:rsid w:val="00C80312"/>
    <w:rsid w:val="00CA7987"/>
    <w:rsid w:val="00CC4D70"/>
    <w:rsid w:val="00CE3538"/>
    <w:rsid w:val="00D062DD"/>
    <w:rsid w:val="00D1767F"/>
    <w:rsid w:val="00D220AB"/>
    <w:rsid w:val="00D35E7C"/>
    <w:rsid w:val="00D37F87"/>
    <w:rsid w:val="00D46B95"/>
    <w:rsid w:val="00D66DC4"/>
    <w:rsid w:val="00D727A9"/>
    <w:rsid w:val="00D7621E"/>
    <w:rsid w:val="00DC10CB"/>
    <w:rsid w:val="00DE7071"/>
    <w:rsid w:val="00DE73A8"/>
    <w:rsid w:val="00DF4011"/>
    <w:rsid w:val="00DF45B8"/>
    <w:rsid w:val="00DF4CBA"/>
    <w:rsid w:val="00E17B30"/>
    <w:rsid w:val="00E338E1"/>
    <w:rsid w:val="00E502A6"/>
    <w:rsid w:val="00E5075B"/>
    <w:rsid w:val="00E50EF0"/>
    <w:rsid w:val="00E74AFA"/>
    <w:rsid w:val="00E77F84"/>
    <w:rsid w:val="00E8599F"/>
    <w:rsid w:val="00E8694C"/>
    <w:rsid w:val="00E96C4D"/>
    <w:rsid w:val="00EC24E2"/>
    <w:rsid w:val="00ED532A"/>
    <w:rsid w:val="00ED5F47"/>
    <w:rsid w:val="00EE1F1A"/>
    <w:rsid w:val="00EE20DD"/>
    <w:rsid w:val="00EE4FEA"/>
    <w:rsid w:val="00EE7252"/>
    <w:rsid w:val="00F12574"/>
    <w:rsid w:val="00F13ADA"/>
    <w:rsid w:val="00F143B1"/>
    <w:rsid w:val="00F14F2C"/>
    <w:rsid w:val="00F165AC"/>
    <w:rsid w:val="00F1660D"/>
    <w:rsid w:val="00F21330"/>
    <w:rsid w:val="00F262A9"/>
    <w:rsid w:val="00F35E00"/>
    <w:rsid w:val="00F53DC8"/>
    <w:rsid w:val="00F83737"/>
    <w:rsid w:val="00FA588C"/>
    <w:rsid w:val="00FC3C66"/>
    <w:rsid w:val="00FC63F9"/>
    <w:rsid w:val="00FD4792"/>
    <w:rsid w:val="00FE7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 w:type="character" w:customStyle="1" w:styleId="berschrift1Zchn">
    <w:name w:val="Überschrift 1 Zchn"/>
    <w:basedOn w:val="Absatz-Standardschriftart"/>
    <w:link w:val="berschrift1"/>
    <w:rsid w:val="006C6A0A"/>
    <w:rPr>
      <w:rFonts w:ascii="Arial" w:eastAsia="Arial" w:hAnsi="Arial" w:cs="Arial"/>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 w:type="character" w:customStyle="1" w:styleId="berschrift1Zchn">
    <w:name w:val="Überschrift 1 Zchn"/>
    <w:basedOn w:val="Absatz-Standardschriftart"/>
    <w:link w:val="berschrift1"/>
    <w:rsid w:val="006C6A0A"/>
    <w:rPr>
      <w:rFonts w:ascii="Arial" w:eastAsia="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bbw-am.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eka.de/" TargetMode="External"/><Relationship Id="rId4" Type="http://schemas.microsoft.com/office/2007/relationships/stylesWithEffects" Target="stylesWithEffects.xml"/><Relationship Id="rId9" Type="http://schemas.openxmlformats.org/officeDocument/2006/relationships/hyperlink" Target="http://www.sskm.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hyperlink" Target="mailto:presse@sskm.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presse.ssk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4A36-7912-4F26-BFB3-43654A84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B6EA9B9B.dotm</Template>
  <TotalTime>0</TotalTime>
  <Pages>2</Pages>
  <Words>918</Words>
  <Characters>5787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"STADTSPARKASSE MÜNCHEN"</Company>
  <LinksUpToDate>false</LinksUpToDate>
  <CharactersWithSpaces>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Fröhler Joachim</dc:creator>
  <cp:lastModifiedBy>Sippel Sebastian</cp:lastModifiedBy>
  <cp:revision>3</cp:revision>
  <cp:lastPrinted>2019-10-25T09:34:00Z</cp:lastPrinted>
  <dcterms:created xsi:type="dcterms:W3CDTF">2019-10-24T14:28:00Z</dcterms:created>
  <dcterms:modified xsi:type="dcterms:W3CDTF">2019-10-25T09:49:00Z</dcterms:modified>
</cp:coreProperties>
</file>