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334AB1" w:rsidRDefault="007A3A2F" w:rsidP="007A3A2F">
      <w:pPr>
        <w:pStyle w:val="titel"/>
        <w:rPr>
          <w:sz w:val="22"/>
          <w:szCs w:val="22"/>
          <w:lang w:val="en-US"/>
        </w:rPr>
      </w:pPr>
      <w:r w:rsidRPr="00334AB1">
        <w:rPr>
          <w:sz w:val="22"/>
          <w:szCs w:val="22"/>
          <w:lang w:val="en-US"/>
        </w:rPr>
        <w:t>GOETHEANUM</w:t>
      </w:r>
      <w:r w:rsidRPr="00334AB1">
        <w:rPr>
          <w:sz w:val="22"/>
          <w:szCs w:val="22"/>
          <w:lang w:val="en-US"/>
        </w:rPr>
        <w:tab/>
      </w:r>
      <w:r w:rsidR="00B90BB3" w:rsidRPr="00334AB1">
        <w:rPr>
          <w:sz w:val="22"/>
          <w:szCs w:val="22"/>
          <w:lang w:val="en-US"/>
        </w:rPr>
        <w:t xml:space="preserve"> </w:t>
      </w:r>
      <w:r w:rsidR="0081275A" w:rsidRPr="00334AB1">
        <w:rPr>
          <w:sz w:val="22"/>
          <w:szCs w:val="22"/>
          <w:lang w:val="en-US"/>
        </w:rPr>
        <w:t>COMUNICACIÓN</w:t>
      </w:r>
    </w:p>
    <w:p w14:paraId="2CA980B4" w14:textId="77777777" w:rsidR="007A3A2F" w:rsidRPr="00334AB1" w:rsidRDefault="007A3A2F" w:rsidP="007A3A2F">
      <w:pPr>
        <w:pStyle w:val="titel"/>
        <w:jc w:val="right"/>
        <w:rPr>
          <w:sz w:val="22"/>
          <w:szCs w:val="22"/>
          <w:lang w:val="en-US"/>
        </w:rPr>
      </w:pPr>
    </w:p>
    <w:p w14:paraId="111F48C4" w14:textId="6F9AE58B" w:rsidR="00334AB1" w:rsidRPr="00334AB1" w:rsidRDefault="00334AB1" w:rsidP="00334AB1">
      <w:pPr>
        <w:pStyle w:val="titel"/>
        <w:jc w:val="right"/>
        <w:rPr>
          <w:rFonts w:ascii="Titillium Lt" w:hAnsi="Titillium Lt" w:cs="Titillium Lt"/>
          <w:sz w:val="22"/>
          <w:szCs w:val="22"/>
          <w:lang w:val="en-US"/>
        </w:rPr>
      </w:pPr>
      <w:r w:rsidRPr="00334AB1">
        <w:rPr>
          <w:sz w:val="22"/>
          <w:szCs w:val="22"/>
          <w:lang w:val="en-US"/>
        </w:rPr>
        <w:tab/>
        <w:t xml:space="preserve">Goetheanum, Dornach, Suiza, </w:t>
      </w:r>
      <w:r w:rsidRPr="00334AB1">
        <w:rPr>
          <w:spacing w:val="1"/>
          <w:sz w:val="22"/>
          <w:szCs w:val="22"/>
          <w:lang w:val="en-US"/>
        </w:rPr>
        <w:t>2</w:t>
      </w:r>
      <w:r w:rsidR="002A2D03">
        <w:rPr>
          <w:spacing w:val="1"/>
          <w:sz w:val="22"/>
          <w:szCs w:val="22"/>
          <w:lang w:val="en-US"/>
        </w:rPr>
        <w:t>6</w:t>
      </w:r>
      <w:r w:rsidRPr="00334AB1">
        <w:rPr>
          <w:spacing w:val="1"/>
          <w:sz w:val="22"/>
          <w:szCs w:val="22"/>
          <w:lang w:val="en-US"/>
        </w:rPr>
        <w:t xml:space="preserve"> de febrero de 2024</w:t>
      </w:r>
    </w:p>
    <w:p w14:paraId="7837447E" w14:textId="77777777" w:rsidR="00334AB1" w:rsidRPr="00334AB1" w:rsidRDefault="00334AB1" w:rsidP="00334AB1">
      <w:pPr>
        <w:pStyle w:val="titel"/>
        <w:rPr>
          <w:sz w:val="28"/>
          <w:szCs w:val="28"/>
          <w:lang w:val="en-US"/>
        </w:rPr>
      </w:pPr>
    </w:p>
    <w:p w14:paraId="7B4B85F0" w14:textId="77777777" w:rsidR="00334AB1" w:rsidRPr="00334AB1" w:rsidRDefault="00334AB1" w:rsidP="00334AB1">
      <w:pPr>
        <w:pStyle w:val="titel"/>
        <w:spacing w:before="57"/>
        <w:rPr>
          <w:b/>
          <w:bCs/>
          <w:sz w:val="28"/>
          <w:szCs w:val="28"/>
          <w:lang w:val="en-US"/>
        </w:rPr>
      </w:pPr>
      <w:r w:rsidRPr="00334AB1">
        <w:rPr>
          <w:b/>
          <w:bCs/>
          <w:sz w:val="28"/>
          <w:szCs w:val="28"/>
          <w:lang w:val="en-US"/>
        </w:rPr>
        <w:t>El impulso cultural de la agricultura</w:t>
      </w:r>
    </w:p>
    <w:p w14:paraId="1B5E453F" w14:textId="77777777" w:rsidR="00334AB1" w:rsidRPr="00334AB1" w:rsidRDefault="00334AB1" w:rsidP="00334AB1">
      <w:pPr>
        <w:pStyle w:val="titel"/>
        <w:spacing w:before="57"/>
        <w:rPr>
          <w:b/>
          <w:bCs/>
          <w:sz w:val="24"/>
          <w:szCs w:val="24"/>
          <w:lang w:val="en-US"/>
        </w:rPr>
      </w:pPr>
      <w:r w:rsidRPr="00334AB1">
        <w:rPr>
          <w:b/>
          <w:bCs/>
          <w:sz w:val="24"/>
          <w:szCs w:val="24"/>
          <w:lang w:val="en-US"/>
        </w:rPr>
        <w:t>Introducción a la agricultura biodinámica y sus 100 años de historia</w:t>
      </w:r>
    </w:p>
    <w:p w14:paraId="0A933B83" w14:textId="77777777" w:rsidR="00334AB1" w:rsidRPr="00334AB1" w:rsidRDefault="00334AB1" w:rsidP="00334AB1">
      <w:pPr>
        <w:pStyle w:val="body"/>
        <w:rPr>
          <w:b/>
          <w:bCs/>
          <w:lang w:val="en-US"/>
        </w:rPr>
      </w:pPr>
    </w:p>
    <w:p w14:paraId="4D5EB7DA" w14:textId="77777777" w:rsidR="00334AB1" w:rsidRPr="00334AB1" w:rsidRDefault="00334AB1" w:rsidP="00334AB1">
      <w:pPr>
        <w:pStyle w:val="body"/>
        <w:rPr>
          <w:rFonts w:ascii="Titillium" w:hAnsi="Titillium" w:cs="Titillium"/>
          <w:b/>
          <w:bCs/>
          <w:sz w:val="18"/>
          <w:szCs w:val="18"/>
          <w:lang w:val="en-US"/>
        </w:rPr>
      </w:pPr>
      <w:r w:rsidRPr="00334AB1">
        <w:rPr>
          <w:rFonts w:ascii="Titillium" w:hAnsi="Titillium" w:cs="Titillium"/>
          <w:b/>
          <w:bCs/>
          <w:spacing w:val="-1"/>
          <w:sz w:val="18"/>
          <w:szCs w:val="18"/>
          <w:lang w:val="en-US"/>
        </w:rPr>
        <w:t>La agricultura alimenta a las personas, cuida y cultiva la tierra, y es parte de la vida cultural de la sociedad. Rudi Bind y Ueli Hurter desarrollan este punto de vista en su libro ‹¡Biodinámico!›, que documenta el ‹nacimiento de la agricultura biodinámica en los comienzos del movimiento ecológico›.</w:t>
      </w:r>
    </w:p>
    <w:p w14:paraId="45C006ED" w14:textId="77777777" w:rsidR="00334AB1" w:rsidRPr="00334AB1" w:rsidRDefault="00334AB1" w:rsidP="00334AB1">
      <w:pPr>
        <w:pStyle w:val="body"/>
        <w:rPr>
          <w:rFonts w:ascii="Titillium" w:hAnsi="Titillium" w:cs="Titillium"/>
          <w:spacing w:val="1"/>
          <w:sz w:val="18"/>
          <w:szCs w:val="18"/>
          <w:lang w:val="en-US"/>
        </w:rPr>
      </w:pPr>
    </w:p>
    <w:p w14:paraId="72D69F0A" w14:textId="77777777" w:rsidR="00334AB1" w:rsidRPr="00334AB1" w:rsidRDefault="00334AB1" w:rsidP="00334AB1">
      <w:pPr>
        <w:pStyle w:val="body"/>
        <w:rPr>
          <w:rFonts w:ascii="Titillium" w:hAnsi="Titillium" w:cs="Titillium"/>
          <w:spacing w:val="1"/>
          <w:sz w:val="18"/>
          <w:szCs w:val="18"/>
          <w:lang w:val="en-US"/>
        </w:rPr>
      </w:pPr>
      <w:r w:rsidRPr="00334AB1">
        <w:rPr>
          <w:rFonts w:ascii="Titillium" w:hAnsi="Titillium" w:cs="Titillium"/>
          <w:spacing w:val="1"/>
          <w:sz w:val="18"/>
          <w:szCs w:val="18"/>
          <w:lang w:val="en-US"/>
        </w:rPr>
        <w:t>Todo empezó con preguntas y preocupaciones por el futuro de la agricultura. Alrededor de la época de la Primera Guerra Mundial en Europa, se hizo evidente que el suelo se estaba acidificando y las plantas presentaban una alta infestación de plagas. Tanto las semillas como los animales de ganadería corrían peligro de perder fuerza vital. En este contexto, surgió el cuestionamiento de cómo asegurar el abastecimiento y la calidad de los alimentos.</w:t>
      </w:r>
    </w:p>
    <w:p w14:paraId="2EA046E2" w14:textId="77777777" w:rsidR="00334AB1" w:rsidRPr="00334AB1" w:rsidRDefault="00334AB1" w:rsidP="00334AB1">
      <w:pPr>
        <w:pStyle w:val="body"/>
        <w:rPr>
          <w:rFonts w:ascii="Titillium" w:hAnsi="Titillium" w:cs="Titillium"/>
          <w:spacing w:val="1"/>
          <w:sz w:val="18"/>
          <w:szCs w:val="18"/>
          <w:lang w:val="en-US"/>
        </w:rPr>
      </w:pPr>
    </w:p>
    <w:p w14:paraId="55CC1681" w14:textId="77777777" w:rsidR="00334AB1" w:rsidRPr="00334AB1" w:rsidRDefault="00334AB1" w:rsidP="00334AB1">
      <w:pPr>
        <w:pStyle w:val="body"/>
        <w:rPr>
          <w:rFonts w:ascii="Titillium" w:hAnsi="Titillium" w:cs="Titillium"/>
          <w:spacing w:val="1"/>
          <w:sz w:val="18"/>
          <w:szCs w:val="18"/>
          <w:lang w:val="en-US"/>
        </w:rPr>
      </w:pPr>
      <w:r w:rsidRPr="00334AB1">
        <w:rPr>
          <w:rFonts w:ascii="Titillium" w:hAnsi="Titillium" w:cs="Titillium"/>
          <w:spacing w:val="1"/>
          <w:sz w:val="18"/>
          <w:szCs w:val="18"/>
          <w:lang w:val="en-US"/>
        </w:rPr>
        <w:t>Varios agricultores se dirigieron a Rudolf Steiner pidiéndole asesoría desde la perspectiva de la antroposofía. Respondiendo a las inquietudes, Rudolf Steiner empezó a analizar de cerca las condiciones actuales de la agricultura y fruticultura, las prácticas de fertilización y el uso de agroquímicos. También encargó experimentos científicos, con el objetivo de desarrollar prácticas para mejorar la calidad del suelo y, adicionalmente a ellas, métodos de control de calidad. Hasta el día de hoy, las granjas biodinámicas aplican normas estrictas de cultivo y procesamiento, en combinación con inspecciones anuales. Las normas y directrices son debatidas y aprobadas democráticamente por delegados a nivel nacional e internacional – un proceso complejo en el que, entre otros factores, hay que tener en cuenta nuevos conocimientos científicos y nuevas condiciones como los cambios climáticos extremos y la situación del mercado.</w:t>
      </w:r>
    </w:p>
    <w:p w14:paraId="11883ADE" w14:textId="77777777" w:rsidR="00334AB1" w:rsidRPr="00334AB1" w:rsidRDefault="00334AB1" w:rsidP="00334AB1">
      <w:pPr>
        <w:pStyle w:val="body"/>
        <w:rPr>
          <w:rFonts w:ascii="Titillium" w:hAnsi="Titillium" w:cs="Titillium"/>
          <w:spacing w:val="1"/>
          <w:sz w:val="18"/>
          <w:szCs w:val="18"/>
          <w:lang w:val="en-US"/>
        </w:rPr>
      </w:pPr>
    </w:p>
    <w:p w14:paraId="32470E9F" w14:textId="77777777" w:rsidR="00334AB1" w:rsidRPr="00334AB1" w:rsidRDefault="00334AB1" w:rsidP="00334AB1">
      <w:pPr>
        <w:pStyle w:val="body"/>
        <w:rPr>
          <w:rFonts w:ascii="Titillium" w:hAnsi="Titillium" w:cs="Titillium"/>
          <w:spacing w:val="1"/>
          <w:sz w:val="18"/>
          <w:szCs w:val="18"/>
          <w:lang w:val="en-US"/>
        </w:rPr>
      </w:pPr>
      <w:r w:rsidRPr="00334AB1">
        <w:rPr>
          <w:rFonts w:ascii="Titillium" w:hAnsi="Titillium" w:cs="Titillium"/>
          <w:spacing w:val="1"/>
          <w:sz w:val="18"/>
          <w:szCs w:val="18"/>
          <w:lang w:val="en-US"/>
        </w:rPr>
        <w:t xml:space="preserve">El compromiso biodinámico no sólo se hace visible en los campos y pastos. La cooperación entre productores, transformadores y distribuidores en comunidades asociativas y el contacto con los consumidores también constituyen una base importante, que es punto de partida para una amplia gama de proyectos sociales: agricultura solidaria y proyectos de abastecimiento para pequeños agricultores. En los últimos años ha crecido el número de viticultores que adoptan métodos biodinámicos para producir vinos de alta calidad. </w:t>
      </w:r>
    </w:p>
    <w:p w14:paraId="6B08B789" w14:textId="77777777" w:rsidR="00334AB1" w:rsidRPr="00334AB1" w:rsidRDefault="00334AB1" w:rsidP="00334AB1">
      <w:pPr>
        <w:pStyle w:val="body"/>
        <w:rPr>
          <w:rFonts w:ascii="Titillium" w:hAnsi="Titillium" w:cs="Titillium"/>
          <w:spacing w:val="1"/>
          <w:sz w:val="18"/>
          <w:szCs w:val="18"/>
          <w:lang w:val="en-US"/>
        </w:rPr>
      </w:pPr>
    </w:p>
    <w:p w14:paraId="4875F170" w14:textId="77777777" w:rsidR="00334AB1" w:rsidRPr="002A2D03" w:rsidRDefault="00334AB1" w:rsidP="00334AB1">
      <w:pPr>
        <w:pStyle w:val="body"/>
        <w:rPr>
          <w:rFonts w:ascii="Titillium" w:hAnsi="Titillium" w:cs="Titillium"/>
          <w:spacing w:val="1"/>
          <w:sz w:val="18"/>
          <w:szCs w:val="18"/>
          <w:lang w:val="en-US"/>
        </w:rPr>
      </w:pPr>
      <w:r w:rsidRPr="00334AB1">
        <w:rPr>
          <w:rFonts w:ascii="Titillium" w:hAnsi="Titillium" w:cs="Titillium"/>
          <w:spacing w:val="1"/>
          <w:sz w:val="18"/>
          <w:szCs w:val="18"/>
          <w:lang w:val="en-US"/>
        </w:rPr>
        <w:t xml:space="preserve">Rudi Bind y Ueli Hurter ofrecen una imagen diferenciada de la agricultura biodinámica mediante textos breves sobre temas especializados. Los autores sitúan la agricultura biodinámica en el contexto del movimiento de reforma de la vida y de los planteamientos de la agricultura ecológica contemporánea. También mencionan el interés por el método biodinámico que mostraron los ideólogos del nacionalsocialismo en Alemania en sus esfuerzos hacia la autosuficiencia; no obstante, decidieron prohibir la agricultura biodinámica en 1941. </w:t>
      </w:r>
      <w:r w:rsidRPr="002A2D03">
        <w:rPr>
          <w:rFonts w:ascii="Titillium" w:hAnsi="Titillium" w:cs="Titillium"/>
          <w:spacing w:val="1"/>
          <w:sz w:val="18"/>
          <w:szCs w:val="18"/>
          <w:lang w:val="en-US"/>
        </w:rPr>
        <w:t>Por último, el libro esboza los conceptos básicos de Rudolf Steiner para la agricultura biodinámica.</w:t>
      </w:r>
    </w:p>
    <w:p w14:paraId="6FBC3A77" w14:textId="77777777" w:rsidR="00334AB1" w:rsidRPr="002A2D03" w:rsidRDefault="00334AB1" w:rsidP="00334AB1">
      <w:pPr>
        <w:pStyle w:val="body"/>
        <w:jc w:val="right"/>
        <w:rPr>
          <w:rFonts w:ascii="Titillium" w:hAnsi="Titillium" w:cs="Titillium"/>
          <w:sz w:val="18"/>
          <w:szCs w:val="18"/>
          <w:lang w:val="en-US"/>
        </w:rPr>
      </w:pPr>
      <w:r w:rsidRPr="002A2D03">
        <w:rPr>
          <w:rFonts w:ascii="Titillium" w:hAnsi="Titillium" w:cs="Titillium"/>
          <w:sz w:val="18"/>
          <w:szCs w:val="18"/>
          <w:lang w:val="en-US"/>
        </w:rPr>
        <w:t>(2829 caracteres/SJ; traducido por Michael Kranawetvogl)</w:t>
      </w:r>
    </w:p>
    <w:p w14:paraId="231BCCD6" w14:textId="77777777" w:rsidR="00334AB1" w:rsidRPr="002A2D03" w:rsidRDefault="00334AB1" w:rsidP="00334AB1">
      <w:pPr>
        <w:pStyle w:val="body"/>
        <w:spacing w:before="57"/>
        <w:rPr>
          <w:rFonts w:ascii="Titillium" w:hAnsi="Titillium" w:cs="Titillium"/>
          <w:spacing w:val="1"/>
          <w:sz w:val="18"/>
          <w:szCs w:val="18"/>
          <w:lang w:val="en-US"/>
        </w:rPr>
      </w:pPr>
      <w:r>
        <w:rPr>
          <w:rFonts w:ascii="Titillium Bd" w:hAnsi="Titillium Bd" w:cs="Titillium Bd"/>
          <w:b/>
          <w:bCs/>
          <w:spacing w:val="1"/>
          <w:sz w:val="18"/>
          <w:szCs w:val="18"/>
        </w:rPr>
        <w:t>Edición en alemán</w:t>
      </w:r>
      <w:r>
        <w:rPr>
          <w:rFonts w:ascii="Titillium" w:hAnsi="Titillium" w:cs="Titillium"/>
          <w:spacing w:val="1"/>
          <w:sz w:val="18"/>
          <w:szCs w:val="18"/>
        </w:rPr>
        <w:t xml:space="preserve"> Rudi Bind und Ueli Hurter: Biodynamisch! Geburtsstunde der biodynamischen Landwirtschaft am Ausgangspunkt der Ökobewegung [¡Biodinámico! </w:t>
      </w:r>
      <w:r w:rsidRPr="002A2D03">
        <w:rPr>
          <w:rFonts w:ascii="Titillium" w:hAnsi="Titillium" w:cs="Titillium"/>
          <w:spacing w:val="1"/>
          <w:sz w:val="18"/>
          <w:szCs w:val="18"/>
          <w:lang w:val="en-US"/>
        </w:rPr>
        <w:t>Nacimiento de la agricultura biodinámica al inicio del movimiento ecológico], Verlag am Goetheanum, 2023</w:t>
      </w:r>
    </w:p>
    <w:p w14:paraId="7C8DECE7" w14:textId="77777777" w:rsidR="00334AB1" w:rsidRPr="002A2D03" w:rsidRDefault="00334AB1" w:rsidP="00334AB1">
      <w:pPr>
        <w:pStyle w:val="body"/>
        <w:spacing w:before="57"/>
        <w:rPr>
          <w:rFonts w:ascii="Titillium" w:hAnsi="Titillium" w:cs="Titillium"/>
          <w:spacing w:val="1"/>
          <w:sz w:val="18"/>
          <w:szCs w:val="18"/>
          <w:lang w:val="en-US"/>
        </w:rPr>
      </w:pPr>
      <w:r>
        <w:rPr>
          <w:rFonts w:ascii="Titillium Bd" w:hAnsi="Titillium Bd" w:cs="Titillium Bd"/>
          <w:b/>
          <w:bCs/>
          <w:spacing w:val="1"/>
          <w:sz w:val="18"/>
          <w:szCs w:val="18"/>
        </w:rPr>
        <w:t xml:space="preserve">Edición en francés </w:t>
      </w:r>
      <w:r>
        <w:rPr>
          <w:rFonts w:ascii="Titillium" w:hAnsi="Titillium" w:cs="Titillium"/>
          <w:spacing w:val="1"/>
          <w:sz w:val="18"/>
          <w:szCs w:val="18"/>
        </w:rPr>
        <w:t xml:space="preserve">Rudi Bind et Ueli Hurter: Biodynamique! </w:t>
      </w:r>
      <w:r w:rsidRPr="002A2D03">
        <w:rPr>
          <w:rFonts w:ascii="Titillium" w:hAnsi="Titillium" w:cs="Titillium"/>
          <w:spacing w:val="1"/>
          <w:sz w:val="18"/>
          <w:szCs w:val="18"/>
          <w:lang w:val="en-US"/>
        </w:rPr>
        <w:t>Naissance de l’un des courants fondateurs de l’agriculture biologique, MABD, 2023</w:t>
      </w:r>
    </w:p>
    <w:p w14:paraId="6BC65ED7" w14:textId="77777777" w:rsidR="00334AB1" w:rsidRPr="002A2D03" w:rsidRDefault="00334AB1" w:rsidP="00334AB1">
      <w:pPr>
        <w:pStyle w:val="body"/>
        <w:spacing w:before="57"/>
        <w:rPr>
          <w:rFonts w:ascii="Titillium" w:hAnsi="Titillium" w:cs="Titillium"/>
          <w:spacing w:val="1"/>
          <w:sz w:val="18"/>
          <w:szCs w:val="18"/>
          <w:lang w:val="en-US"/>
        </w:rPr>
      </w:pPr>
      <w:r w:rsidRPr="002A2D03">
        <w:rPr>
          <w:rFonts w:ascii="Titillium" w:hAnsi="Titillium" w:cs="Titillium"/>
          <w:spacing w:val="1"/>
          <w:sz w:val="18"/>
          <w:szCs w:val="18"/>
          <w:lang w:val="en-US"/>
        </w:rPr>
        <w:t xml:space="preserve">En 2024, el libro se publicará también </w:t>
      </w:r>
      <w:r w:rsidRPr="002A2D03">
        <w:rPr>
          <w:rFonts w:ascii="Titillium Bd" w:hAnsi="Titillium Bd" w:cs="Titillium Bd"/>
          <w:b/>
          <w:bCs/>
          <w:spacing w:val="1"/>
          <w:sz w:val="18"/>
          <w:szCs w:val="18"/>
          <w:lang w:val="en-US"/>
        </w:rPr>
        <w:t xml:space="preserve">en inglés </w:t>
      </w:r>
      <w:r w:rsidRPr="002A2D03">
        <w:rPr>
          <w:rFonts w:ascii="Titillium" w:hAnsi="Titillium" w:cs="Titillium"/>
          <w:spacing w:val="1"/>
          <w:sz w:val="18"/>
          <w:szCs w:val="18"/>
          <w:lang w:val="en-US"/>
        </w:rPr>
        <w:t xml:space="preserve">(Floris Books), </w:t>
      </w:r>
      <w:r w:rsidRPr="002A2D03">
        <w:rPr>
          <w:rFonts w:ascii="Titillium Bd" w:hAnsi="Titillium Bd" w:cs="Titillium Bd"/>
          <w:b/>
          <w:bCs/>
          <w:spacing w:val="1"/>
          <w:sz w:val="18"/>
          <w:szCs w:val="18"/>
          <w:lang w:val="en-US"/>
        </w:rPr>
        <w:t xml:space="preserve">en italiano </w:t>
      </w:r>
      <w:r w:rsidRPr="002A2D03">
        <w:rPr>
          <w:rFonts w:ascii="Titillium" w:hAnsi="Titillium" w:cs="Titillium"/>
          <w:spacing w:val="1"/>
          <w:sz w:val="18"/>
          <w:szCs w:val="18"/>
          <w:lang w:val="en-US"/>
        </w:rPr>
        <w:t xml:space="preserve">(Editrice Antroposofica) y </w:t>
      </w:r>
      <w:r w:rsidRPr="002A2D03">
        <w:rPr>
          <w:rFonts w:ascii="Titillium Bd" w:hAnsi="Titillium Bd" w:cs="Titillium Bd"/>
          <w:b/>
          <w:bCs/>
          <w:spacing w:val="1"/>
          <w:sz w:val="18"/>
          <w:szCs w:val="18"/>
          <w:lang w:val="en-US"/>
        </w:rPr>
        <w:t xml:space="preserve">en chino </w:t>
      </w:r>
      <w:r w:rsidRPr="002A2D03">
        <w:rPr>
          <w:rFonts w:ascii="Titillium" w:hAnsi="Titillium" w:cs="Titillium"/>
          <w:spacing w:val="1"/>
          <w:sz w:val="18"/>
          <w:szCs w:val="18"/>
          <w:lang w:val="en-US"/>
        </w:rPr>
        <w:t>(Cosmosweaving).</w:t>
      </w:r>
    </w:p>
    <w:p w14:paraId="343140C9" w14:textId="77777777" w:rsidR="00334AB1" w:rsidRPr="002A2D03" w:rsidRDefault="00334AB1" w:rsidP="00334AB1">
      <w:pPr>
        <w:pStyle w:val="body"/>
        <w:spacing w:before="113"/>
        <w:rPr>
          <w:rFonts w:ascii="Titillium" w:hAnsi="Titillium" w:cs="Titillium"/>
          <w:spacing w:val="1"/>
          <w:sz w:val="18"/>
          <w:szCs w:val="18"/>
          <w:lang w:val="en-US"/>
        </w:rPr>
      </w:pPr>
      <w:r w:rsidRPr="002A2D03">
        <w:rPr>
          <w:rFonts w:ascii="Titillium Bd" w:hAnsi="Titillium Bd" w:cs="Titillium Bd"/>
          <w:b/>
          <w:bCs/>
          <w:spacing w:val="1"/>
          <w:sz w:val="18"/>
          <w:szCs w:val="18"/>
          <w:lang w:val="en-US"/>
        </w:rPr>
        <w:t>Contacto</w:t>
      </w:r>
      <w:r w:rsidRPr="002A2D03">
        <w:rPr>
          <w:rFonts w:ascii="Titillium" w:hAnsi="Titillium" w:cs="Titillium"/>
          <w:spacing w:val="1"/>
          <w:sz w:val="18"/>
          <w:szCs w:val="18"/>
          <w:lang w:val="en-US"/>
        </w:rPr>
        <w:t xml:space="preserve"> Anna Storchenegger, anna.storchenegger@goetheanum.ch</w:t>
      </w:r>
    </w:p>
    <w:p w14:paraId="7DBB424B" w14:textId="77777777" w:rsidR="006E7E7B" w:rsidRPr="002A2D03" w:rsidRDefault="006E7E7B">
      <w:pPr>
        <w:rPr>
          <w:lang w:val="en-US"/>
        </w:rPr>
      </w:pPr>
    </w:p>
    <w:sectPr w:rsidR="006E7E7B" w:rsidRPr="002A2D03" w:rsidSect="00AD374F">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D24D7"/>
    <w:rsid w:val="002A2D03"/>
    <w:rsid w:val="00334AB1"/>
    <w:rsid w:val="006E7E7B"/>
    <w:rsid w:val="006F57DB"/>
    <w:rsid w:val="007A3A2F"/>
    <w:rsid w:val="0081275A"/>
    <w:rsid w:val="00AD374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3172</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2024-02-26T17:13:00Z</dcterms:modified>
</cp:coreProperties>
</file>