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FA394E" w:rsidRPr="004E621D" w:rsidTr="0042619E">
        <w:trPr>
          <w:gridAfter w:val="1"/>
          <w:wAfter w:w="3402" w:type="dxa"/>
          <w:cantSplit/>
          <w:trHeight w:hRule="exact" w:val="20"/>
          <w:hidden/>
        </w:trPr>
        <w:tc>
          <w:tcPr>
            <w:tcW w:w="4253" w:type="dxa"/>
          </w:tcPr>
          <w:p w:rsidR="00FA394E" w:rsidRPr="004E621D" w:rsidRDefault="00FA394E" w:rsidP="00827E02">
            <w:pPr>
              <w:pStyle w:val="EONKommentar"/>
            </w:pPr>
            <w:bookmarkStart w:id="0" w:name="Anrede"/>
            <w:bookmarkStart w:id="1" w:name="Fliess"/>
            <w:bookmarkEnd w:id="0"/>
            <w:bookmarkEnd w:id="1"/>
          </w:p>
        </w:tc>
      </w:tr>
      <w:tr w:rsidR="0011130B" w:rsidRPr="004E621D" w:rsidTr="0042619E">
        <w:trPr>
          <w:gridAfter w:val="1"/>
          <w:wAfter w:w="3402" w:type="dxa"/>
          <w:cantSplit/>
          <w:trHeight w:hRule="exact" w:val="261"/>
          <w:hidden w:val="0"/>
        </w:trPr>
        <w:tc>
          <w:tcPr>
            <w:tcW w:w="4253" w:type="dxa"/>
          </w:tcPr>
          <w:p w:rsidR="0011130B" w:rsidRPr="003000E8" w:rsidRDefault="00FF0F34" w:rsidP="00827E02">
            <w:pPr>
              <w:pStyle w:val="EONKommentar"/>
              <w:spacing w:before="40"/>
            </w:pPr>
            <w:r>
              <w:rPr>
                <w:vanish w:val="0"/>
                <w:color w:val="auto"/>
                <w:sz w:val="22"/>
                <w:szCs w:val="22"/>
              </w:rPr>
              <w:t>12</w:t>
            </w:r>
            <w:r w:rsidR="0011130B" w:rsidRPr="0011130B">
              <w:rPr>
                <w:vanish w:val="0"/>
                <w:color w:val="auto"/>
                <w:sz w:val="22"/>
                <w:szCs w:val="22"/>
              </w:rPr>
              <w:t xml:space="preserve">. </w:t>
            </w:r>
            <w:r>
              <w:rPr>
                <w:vanish w:val="0"/>
                <w:color w:val="auto"/>
                <w:sz w:val="22"/>
                <w:szCs w:val="22"/>
              </w:rPr>
              <w:t>Juni</w:t>
            </w:r>
            <w:r w:rsidR="0011130B" w:rsidRPr="0011130B">
              <w:rPr>
                <w:vanish w:val="0"/>
                <w:color w:val="auto"/>
                <w:sz w:val="22"/>
                <w:szCs w:val="22"/>
              </w:rPr>
              <w:t xml:space="preserve"> 2019</w:t>
            </w:r>
          </w:p>
        </w:tc>
      </w:tr>
      <w:tr w:rsidR="00FA394E" w:rsidRPr="004E621D" w:rsidTr="0042619E">
        <w:trPr>
          <w:gridAfter w:val="1"/>
          <w:wAfter w:w="3402" w:type="dxa"/>
          <w:cantSplit/>
          <w:trHeight w:hRule="exact" w:val="261"/>
          <w:hidden/>
        </w:trPr>
        <w:tc>
          <w:tcPr>
            <w:tcW w:w="4253" w:type="dxa"/>
          </w:tcPr>
          <w:p w:rsidR="00FA394E" w:rsidRPr="004E621D" w:rsidRDefault="00FA394E" w:rsidP="00827E02">
            <w:pPr>
              <w:pStyle w:val="EONKommentar"/>
              <w:spacing w:before="40"/>
            </w:pPr>
            <w:r w:rsidRPr="003000E8">
              <w:sym w:font="Wingdings" w:char="F0EA"/>
            </w:r>
            <w:r w:rsidRPr="003000E8">
              <w:t xml:space="preserve"> </w:t>
            </w:r>
            <w:r>
              <w:t>Titel</w:t>
            </w:r>
          </w:p>
        </w:tc>
      </w:tr>
      <w:tr w:rsidR="0042619E" w:rsidRPr="00124C73" w:rsidTr="0042619E">
        <w:trPr>
          <w:cantSplit/>
          <w:trHeight w:hRule="exact" w:val="20"/>
          <w:hidden/>
        </w:trPr>
        <w:tc>
          <w:tcPr>
            <w:tcW w:w="4253" w:type="dxa"/>
          </w:tcPr>
          <w:p w:rsidR="0042619E" w:rsidRPr="0025455A" w:rsidRDefault="0042619E" w:rsidP="00827E02">
            <w:pPr>
              <w:pStyle w:val="EONKommentar"/>
            </w:pPr>
          </w:p>
        </w:tc>
        <w:tc>
          <w:tcPr>
            <w:tcW w:w="3402" w:type="dxa"/>
          </w:tcPr>
          <w:p w:rsidR="0042619E" w:rsidRPr="0025455A" w:rsidRDefault="0042619E" w:rsidP="00827E02">
            <w:pPr>
              <w:pStyle w:val="EONKommentar"/>
            </w:pPr>
          </w:p>
        </w:tc>
        <w:bookmarkStart w:id="2" w:name="_GoBack"/>
        <w:bookmarkEnd w:id="2"/>
      </w:tr>
      <w:tr w:rsidR="00C83230" w:rsidRPr="007E3C25" w:rsidTr="00684EA8">
        <w:trPr>
          <w:cantSplit/>
        </w:trPr>
        <w:tc>
          <w:tcPr>
            <w:tcW w:w="7655" w:type="dxa"/>
            <w:gridSpan w:val="2"/>
          </w:tcPr>
          <w:p w:rsidR="00C83230" w:rsidRDefault="00FA1E40" w:rsidP="00684EA8">
            <w:pPr>
              <w:rPr>
                <w:b/>
                <w:sz w:val="24"/>
                <w:szCs w:val="22"/>
              </w:rPr>
            </w:pPr>
            <w:bookmarkStart w:id="3" w:name="Datum"/>
            <w:bookmarkStart w:id="4" w:name="Betreff"/>
            <w:bookmarkEnd w:id="3"/>
            <w:bookmarkEnd w:id="4"/>
            <w:r>
              <w:rPr>
                <w:b/>
                <w:sz w:val="24"/>
                <w:szCs w:val="22"/>
              </w:rPr>
              <w:t>Weiß-blauer Solarstrom-Rekord an Pfingsten</w:t>
            </w:r>
          </w:p>
          <w:p w:rsidR="00F304E2" w:rsidRPr="00F304E2" w:rsidRDefault="00F304E2" w:rsidP="00684EA8">
            <w:pPr>
              <w:rPr>
                <w:b/>
                <w:sz w:val="20"/>
                <w:szCs w:val="22"/>
              </w:rPr>
            </w:pPr>
          </w:p>
          <w:p w:rsidR="00C83230" w:rsidRPr="007E3C25" w:rsidRDefault="00FA1E40" w:rsidP="00684EA8">
            <w:pPr>
              <w:rPr>
                <w:b/>
              </w:rPr>
            </w:pPr>
            <w:r>
              <w:rPr>
                <w:b/>
              </w:rPr>
              <w:t>Einspeisung ins Bayernwerk-Netz übertrifft dreifache Leistung von Isar 2</w:t>
            </w:r>
          </w:p>
        </w:tc>
      </w:tr>
      <w:tr w:rsidR="00F304E2" w:rsidRPr="007E3C25" w:rsidTr="00684EA8">
        <w:trPr>
          <w:cantSplit/>
        </w:trPr>
        <w:tc>
          <w:tcPr>
            <w:tcW w:w="7655" w:type="dxa"/>
            <w:gridSpan w:val="2"/>
          </w:tcPr>
          <w:p w:rsidR="00F304E2" w:rsidRDefault="00F304E2" w:rsidP="00684EA8">
            <w:pPr>
              <w:rPr>
                <w:b/>
                <w:szCs w:val="22"/>
              </w:rPr>
            </w:pPr>
          </w:p>
        </w:tc>
      </w:tr>
      <w:tr w:rsidR="00C83230" w:rsidRPr="007E3C25" w:rsidTr="00684EA8">
        <w:trPr>
          <w:cantSplit/>
          <w:trHeight w:hRule="exact" w:val="522"/>
          <w:hidden/>
        </w:trPr>
        <w:tc>
          <w:tcPr>
            <w:tcW w:w="7655" w:type="dxa"/>
            <w:gridSpan w:val="2"/>
          </w:tcPr>
          <w:p w:rsidR="00C83230" w:rsidRPr="007E3C25" w:rsidRDefault="00C83230" w:rsidP="00684EA8">
            <w:pPr>
              <w:spacing w:before="300" w:line="240" w:lineRule="auto"/>
              <w:rPr>
                <w:vanish/>
                <w:color w:val="FF0000"/>
                <w:sz w:val="18"/>
              </w:rPr>
            </w:pPr>
            <w:bookmarkStart w:id="5" w:name="Referenz"/>
            <w:bookmarkEnd w:id="5"/>
            <w:r w:rsidRPr="007E3C25">
              <w:rPr>
                <w:vanish/>
                <w:color w:val="FF0000"/>
                <w:sz w:val="16"/>
              </w:rPr>
              <w:sym w:font="Wingdings" w:char="F0EA"/>
            </w:r>
            <w:r w:rsidRPr="007E3C25">
              <w:rPr>
                <w:vanish/>
                <w:color w:val="FF0000"/>
                <w:sz w:val="16"/>
              </w:rPr>
              <w:t xml:space="preserve"> </w:t>
            </w:r>
            <w:r w:rsidRPr="007E3C25">
              <w:rPr>
                <w:vanish/>
                <w:color w:val="FF0000"/>
                <w:sz w:val="18"/>
              </w:rPr>
              <w:t>Fließtext</w:t>
            </w:r>
          </w:p>
        </w:tc>
      </w:tr>
    </w:tbl>
    <w:p w:rsidR="00674C4D" w:rsidRPr="00674C4D" w:rsidRDefault="00674C4D" w:rsidP="00674C4D">
      <w:pPr>
        <w:rPr>
          <w:b/>
          <w:iCs/>
        </w:rPr>
      </w:pPr>
      <w:r w:rsidRPr="00674C4D">
        <w:rPr>
          <w:b/>
          <w:iCs/>
        </w:rPr>
        <w:t xml:space="preserve">Regensburg/München. Am Pfingstsonntag hat es im Netz </w:t>
      </w:r>
      <w:r w:rsidRPr="00674C4D">
        <w:rPr>
          <w:b/>
          <w:iCs/>
          <w:color w:val="000000"/>
        </w:rPr>
        <w:t xml:space="preserve">des </w:t>
      </w:r>
      <w:r w:rsidRPr="00674C4D">
        <w:rPr>
          <w:b/>
          <w:iCs/>
        </w:rPr>
        <w:t>Bayernwerk</w:t>
      </w:r>
      <w:r w:rsidRPr="00674C4D">
        <w:rPr>
          <w:b/>
          <w:iCs/>
          <w:color w:val="000000"/>
        </w:rPr>
        <w:t>s</w:t>
      </w:r>
      <w:r w:rsidRPr="00674C4D">
        <w:rPr>
          <w:b/>
          <w:iCs/>
        </w:rPr>
        <w:t xml:space="preserve"> die höchste je gemessene Einspeisung von Solarstrom gegeben. Insgesamt wurden gegen 12.30 Uhr 4.643 Megawatt (MW) Photovoltaik-Strom ins Netz eingespeist. Der neue Rekord </w:t>
      </w:r>
      <w:r w:rsidR="00DE6596">
        <w:rPr>
          <w:b/>
          <w:iCs/>
        </w:rPr>
        <w:t>übertrifft</w:t>
      </w:r>
      <w:r w:rsidR="00DE6596" w:rsidRPr="00674C4D">
        <w:rPr>
          <w:b/>
          <w:iCs/>
        </w:rPr>
        <w:t xml:space="preserve"> </w:t>
      </w:r>
      <w:r w:rsidRPr="00674C4D">
        <w:rPr>
          <w:b/>
          <w:iCs/>
        </w:rPr>
        <w:t xml:space="preserve">mehr als </w:t>
      </w:r>
      <w:r w:rsidR="00DE6596">
        <w:rPr>
          <w:b/>
          <w:iCs/>
          <w:color w:val="000000"/>
        </w:rPr>
        <w:t>die</w:t>
      </w:r>
      <w:r w:rsidR="00DE6596" w:rsidRPr="00674C4D">
        <w:rPr>
          <w:b/>
          <w:iCs/>
          <w:color w:val="000000"/>
        </w:rPr>
        <w:t xml:space="preserve"> </w:t>
      </w:r>
      <w:r w:rsidRPr="00674C4D">
        <w:rPr>
          <w:b/>
          <w:iCs/>
          <w:color w:val="000000"/>
        </w:rPr>
        <w:t xml:space="preserve">dreifache Leistung des </w:t>
      </w:r>
      <w:r w:rsidRPr="00674C4D">
        <w:rPr>
          <w:b/>
          <w:iCs/>
        </w:rPr>
        <w:t>Kernkraftwerk</w:t>
      </w:r>
      <w:r w:rsidRPr="00674C4D">
        <w:rPr>
          <w:b/>
          <w:iCs/>
          <w:color w:val="000000"/>
        </w:rPr>
        <w:t>s</w:t>
      </w:r>
      <w:r w:rsidRPr="00674C4D">
        <w:rPr>
          <w:b/>
          <w:iCs/>
        </w:rPr>
        <w:t xml:space="preserve"> Isar 2</w:t>
      </w:r>
      <w:r w:rsidRPr="00674C4D">
        <w:rPr>
          <w:b/>
          <w:iCs/>
          <w:color w:val="000000"/>
        </w:rPr>
        <w:t xml:space="preserve"> (</w:t>
      </w:r>
      <w:r w:rsidRPr="00674C4D">
        <w:rPr>
          <w:b/>
          <w:iCs/>
        </w:rPr>
        <w:t>rund 1.485 MW brutto).</w:t>
      </w:r>
    </w:p>
    <w:p w:rsidR="00D51191" w:rsidRDefault="00D51191" w:rsidP="00674C4D">
      <w:pPr>
        <w:rPr>
          <w:iCs/>
        </w:rPr>
      </w:pPr>
    </w:p>
    <w:p w:rsidR="00674C4D" w:rsidRPr="00674C4D" w:rsidRDefault="00D51191" w:rsidP="00674C4D">
      <w:pPr>
        <w:rPr>
          <w:iCs/>
        </w:rPr>
      </w:pPr>
      <w:r>
        <w:rPr>
          <w:iCs/>
        </w:rPr>
        <w:t xml:space="preserve">Die gesamte </w:t>
      </w:r>
      <w:r w:rsidR="00674C4D" w:rsidRPr="00674C4D">
        <w:rPr>
          <w:iCs/>
        </w:rPr>
        <w:t>Strom</w:t>
      </w:r>
      <w:r>
        <w:rPr>
          <w:iCs/>
        </w:rPr>
        <w:t>menge</w:t>
      </w:r>
      <w:r w:rsidR="00674C4D" w:rsidRPr="00674C4D">
        <w:rPr>
          <w:iCs/>
        </w:rPr>
        <w:t xml:space="preserve"> konnte </w:t>
      </w:r>
      <w:r w:rsidR="00674C4D" w:rsidRPr="00674C4D">
        <w:rPr>
          <w:iCs/>
          <w:color w:val="000000"/>
        </w:rPr>
        <w:t>nahezu vollständig</w:t>
      </w:r>
      <w:r w:rsidR="00674C4D" w:rsidRPr="00674C4D">
        <w:rPr>
          <w:iCs/>
        </w:rPr>
        <w:t xml:space="preserve"> i</w:t>
      </w:r>
      <w:r w:rsidR="00674C4D" w:rsidRPr="00674C4D">
        <w:rPr>
          <w:iCs/>
          <w:color w:val="000000"/>
        </w:rPr>
        <w:t>ns</w:t>
      </w:r>
      <w:r w:rsidR="00674C4D" w:rsidRPr="00674C4D">
        <w:rPr>
          <w:iCs/>
        </w:rPr>
        <w:t xml:space="preserve"> </w:t>
      </w:r>
      <w:r w:rsidR="00674C4D" w:rsidRPr="00674C4D">
        <w:rPr>
          <w:iCs/>
          <w:color w:val="000000"/>
        </w:rPr>
        <w:t>Bayernwerk-</w:t>
      </w:r>
      <w:r w:rsidR="00674C4D" w:rsidRPr="00674C4D">
        <w:rPr>
          <w:iCs/>
        </w:rPr>
        <w:t xml:space="preserve">Netz </w:t>
      </w:r>
      <w:r w:rsidR="00674C4D" w:rsidRPr="00674C4D">
        <w:rPr>
          <w:iCs/>
          <w:color w:val="000000"/>
        </w:rPr>
        <w:t>aufgenommen werden</w:t>
      </w:r>
      <w:r w:rsidR="00674C4D" w:rsidRPr="00674C4D">
        <w:rPr>
          <w:iCs/>
        </w:rPr>
        <w:t>. Das verdeutlicht, dass die Netzausbaumaßnahmen zur Integration der erneuerbaren Energien in den vergangen</w:t>
      </w:r>
      <w:r w:rsidR="0081792F">
        <w:rPr>
          <w:iCs/>
        </w:rPr>
        <w:t>en</w:t>
      </w:r>
      <w:r w:rsidR="00FA1E40">
        <w:rPr>
          <w:iCs/>
        </w:rPr>
        <w:t xml:space="preserve"> Jahren erfolgreich waren.</w:t>
      </w:r>
    </w:p>
    <w:p w:rsidR="00674C4D" w:rsidRDefault="00674C4D" w:rsidP="00674C4D">
      <w:pPr>
        <w:rPr>
          <w:iCs/>
        </w:rPr>
      </w:pPr>
    </w:p>
    <w:p w:rsidR="00FA1E40" w:rsidRPr="00FA1E40" w:rsidRDefault="001354A6" w:rsidP="00674C4D">
      <w:pPr>
        <w:rPr>
          <w:b/>
          <w:iCs/>
        </w:rPr>
      </w:pPr>
      <w:r>
        <w:rPr>
          <w:b/>
          <w:iCs/>
        </w:rPr>
        <w:t xml:space="preserve">Ziel: </w:t>
      </w:r>
      <w:r w:rsidR="00FA1E40" w:rsidRPr="00FA1E40">
        <w:rPr>
          <w:b/>
          <w:iCs/>
        </w:rPr>
        <w:t>Regionale</w:t>
      </w:r>
      <w:r w:rsidR="00D51191">
        <w:rPr>
          <w:b/>
          <w:iCs/>
        </w:rPr>
        <w:t>n Ausgleich</w:t>
      </w:r>
      <w:r w:rsidR="00FA1E40" w:rsidRPr="00FA1E40">
        <w:rPr>
          <w:b/>
          <w:iCs/>
        </w:rPr>
        <w:t xml:space="preserve"> schaffen</w:t>
      </w:r>
    </w:p>
    <w:p w:rsidR="00FA1E40" w:rsidRPr="00674C4D" w:rsidRDefault="00FA1E40" w:rsidP="00674C4D">
      <w:pPr>
        <w:rPr>
          <w:iCs/>
        </w:rPr>
      </w:pPr>
    </w:p>
    <w:p w:rsidR="00674C4D" w:rsidRPr="00674C4D" w:rsidRDefault="00FA1E40" w:rsidP="00674C4D">
      <w:pPr>
        <w:rPr>
          <w:bCs/>
          <w:iCs/>
        </w:rPr>
      </w:pPr>
      <w:r>
        <w:rPr>
          <w:iCs/>
          <w:color w:val="000000"/>
        </w:rPr>
        <w:t xml:space="preserve">Am Pfingstsonntag </w:t>
      </w:r>
      <w:r w:rsidR="00674C4D" w:rsidRPr="00674C4D">
        <w:rPr>
          <w:iCs/>
          <w:color w:val="000000"/>
        </w:rPr>
        <w:t xml:space="preserve">jedoch </w:t>
      </w:r>
      <w:r>
        <w:rPr>
          <w:iCs/>
          <w:color w:val="000000"/>
        </w:rPr>
        <w:t xml:space="preserve">musste der Strom </w:t>
      </w:r>
      <w:r w:rsidR="00674C4D" w:rsidRPr="00674C4D">
        <w:rPr>
          <w:iCs/>
          <w:color w:val="000000"/>
        </w:rPr>
        <w:t>größtenteils</w:t>
      </w:r>
      <w:r w:rsidR="00674C4D" w:rsidRPr="00674C4D">
        <w:rPr>
          <w:iCs/>
        </w:rPr>
        <w:t xml:space="preserve"> in das </w:t>
      </w:r>
      <w:r w:rsidR="0081792F">
        <w:rPr>
          <w:iCs/>
        </w:rPr>
        <w:t>Übertragungsnetz</w:t>
      </w:r>
      <w:r w:rsidR="00674C4D" w:rsidRPr="00674C4D">
        <w:rPr>
          <w:iCs/>
        </w:rPr>
        <w:t xml:space="preserve"> der TenneT zurückgespeist</w:t>
      </w:r>
      <w:r w:rsidR="00674C4D" w:rsidRPr="00674C4D">
        <w:rPr>
          <w:iCs/>
          <w:color w:val="000000"/>
        </w:rPr>
        <w:t xml:space="preserve"> werden</w:t>
      </w:r>
      <w:r w:rsidR="00674C4D" w:rsidRPr="00674C4D">
        <w:rPr>
          <w:iCs/>
        </w:rPr>
        <w:t xml:space="preserve">. Dabei </w:t>
      </w:r>
      <w:r w:rsidR="0081792F">
        <w:rPr>
          <w:iCs/>
        </w:rPr>
        <w:t>lag</w:t>
      </w:r>
      <w:r w:rsidR="00674C4D" w:rsidRPr="00674C4D">
        <w:rPr>
          <w:iCs/>
        </w:rPr>
        <w:t xml:space="preserve"> die höchste Rückspeiseleistung </w:t>
      </w:r>
      <w:r w:rsidR="0081792F">
        <w:rPr>
          <w:iCs/>
        </w:rPr>
        <w:t>bei etwa</w:t>
      </w:r>
      <w:r w:rsidR="00674C4D" w:rsidRPr="00674C4D">
        <w:rPr>
          <w:iCs/>
        </w:rPr>
        <w:t xml:space="preserve"> 3.200 MW </w:t>
      </w:r>
      <w:r w:rsidR="0081792F">
        <w:rPr>
          <w:iCs/>
        </w:rPr>
        <w:t>gegen</w:t>
      </w:r>
      <w:r w:rsidR="00674C4D" w:rsidRPr="00674C4D">
        <w:rPr>
          <w:iCs/>
        </w:rPr>
        <w:t xml:space="preserve"> 12</w:t>
      </w:r>
      <w:r w:rsidR="0081792F">
        <w:rPr>
          <w:iCs/>
        </w:rPr>
        <w:t>.</w:t>
      </w:r>
      <w:r w:rsidR="00674C4D" w:rsidRPr="00674C4D">
        <w:rPr>
          <w:iCs/>
        </w:rPr>
        <w:t>45 Uhr. „</w:t>
      </w:r>
      <w:r w:rsidR="00674C4D" w:rsidRPr="00674C4D">
        <w:rPr>
          <w:bCs/>
          <w:iCs/>
        </w:rPr>
        <w:t>Eine zentrale Herausforderung für das Bayernwerk wird es in Zukunft sein, regional erzeugten Strom und regionalen V</w:t>
      </w:r>
      <w:r>
        <w:rPr>
          <w:bCs/>
          <w:iCs/>
        </w:rPr>
        <w:t>erbrauch zu synchronisieren</w:t>
      </w:r>
      <w:r w:rsidR="00674C4D" w:rsidRPr="00674C4D">
        <w:rPr>
          <w:bCs/>
          <w:iCs/>
        </w:rPr>
        <w:t>“</w:t>
      </w:r>
      <w:r>
        <w:rPr>
          <w:bCs/>
          <w:iCs/>
        </w:rPr>
        <w:t>,</w:t>
      </w:r>
      <w:r w:rsidR="00674C4D" w:rsidRPr="00674C4D">
        <w:rPr>
          <w:bCs/>
          <w:iCs/>
        </w:rPr>
        <w:t xml:space="preserve"> sagt Dr. Egon Westphal, Technik-Vorstand der Bayernwerk AG. „Denn die </w:t>
      </w:r>
      <w:r w:rsidR="00674C4D" w:rsidRPr="00674C4D">
        <w:rPr>
          <w:bCs/>
          <w:iCs/>
          <w:color w:val="000000"/>
        </w:rPr>
        <w:t xml:space="preserve">regionale </w:t>
      </w:r>
      <w:r w:rsidR="00674C4D" w:rsidRPr="00674C4D">
        <w:rPr>
          <w:bCs/>
          <w:iCs/>
        </w:rPr>
        <w:t xml:space="preserve">Wertschöpfung </w:t>
      </w:r>
      <w:r w:rsidR="00674C4D" w:rsidRPr="00674C4D">
        <w:rPr>
          <w:bCs/>
          <w:iCs/>
          <w:color w:val="000000"/>
        </w:rPr>
        <w:t xml:space="preserve">kann durch die Nutzung der erneuerbaren Energie </w:t>
      </w:r>
      <w:r w:rsidR="00674C4D" w:rsidRPr="00674C4D">
        <w:rPr>
          <w:bCs/>
          <w:iCs/>
        </w:rPr>
        <w:t>vor Ort gesteigert, die CO</w:t>
      </w:r>
      <w:r w:rsidR="00674C4D" w:rsidRPr="00FA1E40">
        <w:rPr>
          <w:bCs/>
          <w:iCs/>
          <w:vertAlign w:val="subscript"/>
        </w:rPr>
        <w:t>2</w:t>
      </w:r>
      <w:r w:rsidR="00674C4D" w:rsidRPr="00674C4D">
        <w:rPr>
          <w:bCs/>
          <w:iCs/>
        </w:rPr>
        <w:t>-Bilanz in Bayern verbessert und das Übertragungsnetz durch Reduzierung überregionaler Leistungsflüsse entlastet werden“</w:t>
      </w:r>
      <w:r>
        <w:rPr>
          <w:bCs/>
          <w:iCs/>
        </w:rPr>
        <w:t>, erklärt Bayernwerk-Technik-Vorstand Westphal.</w:t>
      </w:r>
    </w:p>
    <w:p w:rsidR="00674C4D" w:rsidRPr="00674C4D" w:rsidRDefault="00674C4D" w:rsidP="00674C4D">
      <w:pPr>
        <w:rPr>
          <w:iCs/>
        </w:rPr>
      </w:pPr>
    </w:p>
    <w:p w:rsidR="00FA1E40" w:rsidRDefault="00674C4D" w:rsidP="00674C4D">
      <w:pPr>
        <w:rPr>
          <w:iCs/>
        </w:rPr>
      </w:pPr>
      <w:r w:rsidRPr="00674C4D">
        <w:rPr>
          <w:iCs/>
        </w:rPr>
        <w:t xml:space="preserve">Wie die Zukunft einer </w:t>
      </w:r>
      <w:r w:rsidR="00FA1E40">
        <w:rPr>
          <w:iCs/>
        </w:rPr>
        <w:t xml:space="preserve">dekarbonisierten, </w:t>
      </w:r>
      <w:r w:rsidRPr="00674C4D">
        <w:rPr>
          <w:iCs/>
        </w:rPr>
        <w:t>dezentralen</w:t>
      </w:r>
      <w:r w:rsidR="00FA1E40">
        <w:rPr>
          <w:iCs/>
        </w:rPr>
        <w:t xml:space="preserve"> und</w:t>
      </w:r>
      <w:r w:rsidRPr="00674C4D">
        <w:rPr>
          <w:iCs/>
        </w:rPr>
        <w:t xml:space="preserve"> digitalen Energiewelt in 2030 aussehen kann, hat </w:t>
      </w:r>
      <w:r w:rsidR="00FA1E40">
        <w:rPr>
          <w:iCs/>
        </w:rPr>
        <w:t xml:space="preserve">das </w:t>
      </w:r>
      <w:r w:rsidRPr="00674C4D">
        <w:rPr>
          <w:iCs/>
        </w:rPr>
        <w:t xml:space="preserve">Bayernwerk im Rahmen einer Studie untersucht. Dabei kommt nach Ansicht </w:t>
      </w:r>
      <w:r w:rsidR="00FA1E40">
        <w:rPr>
          <w:iCs/>
        </w:rPr>
        <w:t>von Bayerns größtem regionalen Netzbetreiber</w:t>
      </w:r>
      <w:r w:rsidRPr="00674C4D">
        <w:rPr>
          <w:iCs/>
        </w:rPr>
        <w:t xml:space="preserve"> einer aktiven Koordination von vorhandener Flexibilität wie E-Fahrzeugen, Kleinspeichern und Wärmepumpen eine Schlüsselrolle zu. Darüber hinaus ist </w:t>
      </w:r>
      <w:r w:rsidR="00D2754F">
        <w:rPr>
          <w:iCs/>
        </w:rPr>
        <w:t xml:space="preserve">nach Ansicht des Bayernwerks </w:t>
      </w:r>
      <w:r w:rsidRPr="00674C4D">
        <w:rPr>
          <w:iCs/>
        </w:rPr>
        <w:t>der Zubau zusätzlicher Speicher ein effektives Mittel, die lokale Energienutzung zu steigern und Rückspeis</w:t>
      </w:r>
      <w:r w:rsidR="00FA1E40">
        <w:rPr>
          <w:iCs/>
        </w:rPr>
        <w:t>espitzen zu reduzieren.</w:t>
      </w:r>
    </w:p>
    <w:p w:rsidR="00FA1E40" w:rsidRDefault="00FA1E40" w:rsidP="00674C4D">
      <w:pPr>
        <w:rPr>
          <w:iCs/>
        </w:rPr>
      </w:pPr>
    </w:p>
    <w:p w:rsidR="00674C4D" w:rsidRPr="00FA1E40" w:rsidRDefault="00674C4D" w:rsidP="00674C4D">
      <w:pPr>
        <w:rPr>
          <w:i/>
          <w:iCs/>
        </w:rPr>
      </w:pPr>
      <w:r w:rsidRPr="00FA1E40">
        <w:rPr>
          <w:i/>
          <w:iCs/>
        </w:rPr>
        <w:t xml:space="preserve">Details und Hintergründe zur Studie sind auf der Webseite </w:t>
      </w:r>
      <w:hyperlink r:id="rId8" w:history="1">
        <w:r w:rsidRPr="00FA1E40">
          <w:rPr>
            <w:rStyle w:val="Hyperlink"/>
            <w:i/>
            <w:iCs/>
          </w:rPr>
          <w:t>www.bayernwerk.de/flowerpower</w:t>
        </w:r>
      </w:hyperlink>
      <w:r w:rsidRPr="00FA1E40">
        <w:rPr>
          <w:i/>
          <w:iCs/>
        </w:rPr>
        <w:t xml:space="preserve"> abrufbar.</w:t>
      </w:r>
    </w:p>
    <w:p w:rsidR="008C7B75" w:rsidRPr="00674C4D" w:rsidRDefault="008C7B75" w:rsidP="00674C4D">
      <w:pPr>
        <w:rPr>
          <w:sz w:val="20"/>
        </w:rPr>
      </w:pPr>
    </w:p>
    <w:p w:rsidR="008C7B75" w:rsidRPr="00674C4D" w:rsidRDefault="008C7B75" w:rsidP="00674C4D">
      <w:pPr>
        <w:rPr>
          <w:sz w:val="20"/>
        </w:rPr>
      </w:pPr>
    </w:p>
    <w:p w:rsidR="008C7B75" w:rsidRPr="00674C4D" w:rsidRDefault="008C7B75" w:rsidP="00674C4D">
      <w:pPr>
        <w:rPr>
          <w:sz w:val="20"/>
        </w:rPr>
      </w:pPr>
    </w:p>
    <w:p w:rsidR="008C7B75" w:rsidRPr="00674C4D" w:rsidRDefault="008C7B75" w:rsidP="00674C4D">
      <w:pPr>
        <w:rPr>
          <w:sz w:val="20"/>
        </w:rPr>
      </w:pPr>
    </w:p>
    <w:p w:rsidR="008C7B75" w:rsidRPr="00674C4D" w:rsidRDefault="008C7B75"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Pr="00674C4D" w:rsidRDefault="00F05418" w:rsidP="00674C4D">
      <w:pPr>
        <w:rPr>
          <w:sz w:val="20"/>
        </w:rPr>
      </w:pPr>
    </w:p>
    <w:p w:rsidR="00F05418" w:rsidRDefault="00F05418" w:rsidP="00C83230">
      <w:pPr>
        <w:rPr>
          <w:sz w:val="20"/>
        </w:rPr>
      </w:pPr>
    </w:p>
    <w:p w:rsidR="00F05418" w:rsidRDefault="00F05418"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2754F" w:rsidRDefault="00D2754F" w:rsidP="00C83230">
      <w:pPr>
        <w:rPr>
          <w:sz w:val="20"/>
        </w:rPr>
      </w:pPr>
    </w:p>
    <w:p w:rsidR="00DE629E" w:rsidRDefault="00DE629E" w:rsidP="00C83230">
      <w:pPr>
        <w:rPr>
          <w:sz w:val="20"/>
        </w:rPr>
      </w:pPr>
    </w:p>
    <w:p w:rsidR="00DE6596" w:rsidRDefault="00DE6596" w:rsidP="00C83230">
      <w:pPr>
        <w:rPr>
          <w:sz w:val="20"/>
        </w:rPr>
      </w:pPr>
    </w:p>
    <w:p w:rsidR="00DE6596" w:rsidRDefault="00DE6596" w:rsidP="00C83230">
      <w:pPr>
        <w:rPr>
          <w:sz w:val="20"/>
        </w:rPr>
      </w:pPr>
    </w:p>
    <w:p w:rsidR="00DE6596" w:rsidRDefault="00DE6596" w:rsidP="00C83230">
      <w:pPr>
        <w:rPr>
          <w:sz w:val="20"/>
        </w:rPr>
      </w:pPr>
    </w:p>
    <w:p w:rsidR="00DE629E" w:rsidRDefault="00DE629E" w:rsidP="00C83230">
      <w:pPr>
        <w:rPr>
          <w:sz w:val="20"/>
        </w:rPr>
      </w:pPr>
    </w:p>
    <w:p w:rsidR="00DE629E" w:rsidRDefault="00DE629E" w:rsidP="00C83230">
      <w:pPr>
        <w:rPr>
          <w:sz w:val="20"/>
        </w:rPr>
      </w:pPr>
    </w:p>
    <w:p w:rsidR="00674C4D" w:rsidRPr="00EA373A" w:rsidRDefault="00674C4D" w:rsidP="00674C4D">
      <w:pPr>
        <w:rPr>
          <w:b/>
          <w:sz w:val="20"/>
        </w:rPr>
      </w:pPr>
      <w:r>
        <w:rPr>
          <w:sz w:val="20"/>
        </w:rPr>
        <w:t>_______________________________________</w:t>
      </w:r>
      <w:r>
        <w:rPr>
          <w:sz w:val="20"/>
        </w:rPr>
        <w:br/>
      </w:r>
      <w:r w:rsidRPr="00EA373A">
        <w:rPr>
          <w:b/>
          <w:sz w:val="20"/>
        </w:rPr>
        <w:t>Kurzprofil Bayernwerk AG</w:t>
      </w:r>
    </w:p>
    <w:p w:rsidR="00674C4D" w:rsidRPr="00EA373A" w:rsidRDefault="00674C4D" w:rsidP="00674C4D">
      <w:pPr>
        <w:spacing w:line="260" w:lineRule="exact"/>
        <w:rPr>
          <w:b/>
          <w:sz w:val="20"/>
        </w:rPr>
      </w:pPr>
    </w:p>
    <w:p w:rsidR="00C83230" w:rsidRDefault="00674C4D" w:rsidP="00674C4D">
      <w:pPr>
        <w:spacing w:after="60" w:line="240" w:lineRule="atLeast"/>
        <w:rPr>
          <w:sz w:val="20"/>
        </w:rPr>
      </w:pPr>
      <w:r w:rsidRPr="000D6605">
        <w:rPr>
          <w:color w:val="000000"/>
          <w:sz w:val="20"/>
        </w:rPr>
        <w:t>Die Bayernwerk AG unterstützt Privathaushalte, Gewerbebetriebe und Kommunen mit einem umfangreichen Angebot an Energielösungen. Gemeinsam mit seinen Tochterunternehmen bietet das Bayernwerk seinen Kunden Produkte und Dienstleistungen in den Bereichen Strom- und Gasnetze, Straßenbeleuchtung, E-Mobilität, dezentrale Energieerzeugung, Wasserversorgung und Abwasserentsorgung. Rund 2.900 Mitarbeiter der Bayernwerk-Gruppe geben Tag für Tag ihr Bestes</w:t>
      </w:r>
      <w:r>
        <w:rPr>
          <w:color w:val="000000"/>
          <w:sz w:val="20"/>
        </w:rPr>
        <w:t>,</w:t>
      </w:r>
      <w:r w:rsidRPr="000D6605">
        <w:rPr>
          <w:color w:val="000000"/>
          <w:sz w:val="20"/>
        </w:rPr>
        <w:t xml:space="preserve"> um den Kunden des Bayernwerks die Energielösungen zu bieten, die sie brauchen.</w:t>
      </w:r>
      <w:r w:rsidRPr="000D6605">
        <w:rPr>
          <w:color w:val="000000"/>
          <w:sz w:val="20"/>
        </w:rPr>
        <w:br/>
        <w:t>Als langjähriger Partner steht das Unternehmen rund 1.200 Kommunen bei der Energiewende vor Ort zur Seite. Das gesellschaftliche Engagement für die bayerischen Regionen ist eines der Markenzeichen des Bayernwerks. Das Unternehmen engagiert sich nachhaltig für Schule und Jugend, Tradition und Kultur, Soziales, Ökologie sowie den Breitensport.</w:t>
      </w:r>
      <w:r>
        <w:rPr>
          <w:color w:val="000000"/>
          <w:sz w:val="20"/>
        </w:rPr>
        <w:br/>
      </w:r>
      <w:r w:rsidRPr="000D6605">
        <w:rPr>
          <w:color w:val="000000"/>
          <w:sz w:val="20"/>
        </w:rPr>
        <w:t>Sitz des Unternehmens ist Regensburg. Die Bayernwerk AG ist eine 100-prozentige Tochter des E.ON-Konzerns.</w:t>
      </w:r>
    </w:p>
    <w:sectPr w:rsidR="00C83230" w:rsidSect="00860607">
      <w:headerReference w:type="default" r:id="rId9"/>
      <w:footerReference w:type="default" r:id="rId10"/>
      <w:headerReference w:type="first" r:id="rId11"/>
      <w:footerReference w:type="first" r:id="rId12"/>
      <w:pgSz w:w="11906" w:h="16838" w:code="9"/>
      <w:pgMar w:top="2495" w:right="2835" w:bottom="567"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65A" w:rsidRDefault="00D5265A" w:rsidP="004669B6">
      <w:pPr>
        <w:pStyle w:val="EONKommentar"/>
      </w:pPr>
      <w:r>
        <w:separator/>
      </w:r>
    </w:p>
  </w:endnote>
  <w:endnote w:type="continuationSeparator" w:id="0">
    <w:p w:rsidR="00D5265A" w:rsidRDefault="00D5265A"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767A5">
          <w:r>
            <w:rPr>
              <w:noProof/>
            </w:rPr>
            <mc:AlternateContent>
              <mc:Choice Requires="wps">
                <w:drawing>
                  <wp:anchor distT="0" distB="0" distL="114300" distR="114300" simplePos="0" relativeHeight="251662336" behindDoc="0" locked="0" layoutInCell="0" allowOverlap="1" wp14:anchorId="54FD0B48" wp14:editId="0AA6B2BC">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0B48"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3800CC">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3800CC">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3800CC">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3800CC">
            <w:rPr>
              <w:rStyle w:val="Seitenzahl"/>
              <w:noProof/>
            </w:rPr>
            <w:t>2</w:t>
          </w:r>
          <w:r>
            <w:rPr>
              <w:rStyle w:val="Seitenzahl"/>
            </w:rPr>
            <w:fldChar w:fldCharType="end"/>
          </w:r>
          <w:r w:rsidR="00D767A5">
            <w:rPr>
              <w:noProof/>
            </w:rPr>
            <mc:AlternateContent>
              <mc:Choice Requires="wps">
                <w:drawing>
                  <wp:anchor distT="0" distB="0" distL="114300" distR="114300" simplePos="0" relativeHeight="251658240" behindDoc="0" locked="0" layoutInCell="0" allowOverlap="1" wp14:anchorId="0589016F" wp14:editId="7408C395">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9016F"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65A" w:rsidRPr="00BA3C82" w:rsidRDefault="00D5265A" w:rsidP="00BA3C82">
      <w:pPr>
        <w:pStyle w:val="EONKommentar"/>
        <w:spacing w:line="240" w:lineRule="atLeast"/>
        <w:rPr>
          <w:vanish w:val="0"/>
          <w:color w:val="auto"/>
        </w:rPr>
      </w:pPr>
      <w:r w:rsidRPr="00BA3C82">
        <w:rPr>
          <w:vanish w:val="0"/>
          <w:color w:val="auto"/>
        </w:rPr>
        <w:separator/>
      </w:r>
    </w:p>
  </w:footnote>
  <w:footnote w:type="continuationSeparator" w:id="0">
    <w:p w:rsidR="00D5265A" w:rsidRDefault="00D5265A" w:rsidP="004669B6">
      <w:pPr>
        <w:pStyle w:val="EON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hidden/>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767A5">
    <w:pPr>
      <w:pStyle w:val="Kopfzeile"/>
      <w:spacing w:line="20" w:lineRule="exact"/>
      <w:rPr>
        <w:sz w:val="4"/>
        <w:szCs w:val="4"/>
      </w:rPr>
    </w:pPr>
    <w:r>
      <w:rPr>
        <w:noProof/>
        <w:sz w:val="4"/>
        <w:szCs w:val="4"/>
      </w:rPr>
      <mc:AlternateContent>
        <mc:Choice Requires="wps">
          <w:drawing>
            <wp:anchor distT="0" distB="0" distL="114300" distR="114300" simplePos="0" relativeHeight="251654144" behindDoc="0" locked="0" layoutInCell="1" allowOverlap="1" wp14:anchorId="632C50BC" wp14:editId="362217EF">
              <wp:simplePos x="0" y="0"/>
              <wp:positionH relativeFrom="page">
                <wp:posOffset>215900</wp:posOffset>
              </wp:positionH>
              <wp:positionV relativeFrom="page">
                <wp:posOffset>828040</wp:posOffset>
              </wp:positionV>
              <wp:extent cx="4229735" cy="655320"/>
              <wp:effectExtent l="0" t="0" r="254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5455A" w:rsidP="0025455A">
                                <w:pPr>
                                  <w:spacing w:before="60"/>
                                  <w:ind w:left="85"/>
                                </w:pPr>
                                <w:r>
                                  <w:rPr>
                                    <w:noProof/>
                                  </w:rPr>
                                  <w:drawing>
                                    <wp:inline distT="0" distB="0" distL="0" distR="0" wp14:anchorId="7CD69FC2" wp14:editId="50BBE21E">
                                      <wp:extent cx="1938020" cy="537845"/>
                                      <wp:effectExtent l="19050" t="0" r="508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C50BC"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14:anchorId="7CD69FC2" wp14:editId="50BBE21E">
                                <wp:extent cx="1938020" cy="537845"/>
                                <wp:effectExtent l="19050" t="0" r="508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767A5">
          <w:pPr>
            <w:pStyle w:val="EONKommentar"/>
          </w:pPr>
          <w:r>
            <w:rPr>
              <w:noProof/>
              <w:vanish w:val="0"/>
            </w:rPr>
            <mc:AlternateContent>
              <mc:Choice Requires="wps">
                <w:drawing>
                  <wp:anchor distT="0" distB="0" distL="114300" distR="114300" simplePos="0" relativeHeight="251660288" behindDoc="0" locked="0" layoutInCell="0" allowOverlap="1" wp14:anchorId="38238727" wp14:editId="4604A721">
                    <wp:simplePos x="0" y="0"/>
                    <wp:positionH relativeFrom="page">
                      <wp:posOffset>215900</wp:posOffset>
                    </wp:positionH>
                    <wp:positionV relativeFrom="page">
                      <wp:posOffset>828040</wp:posOffset>
                    </wp:positionV>
                    <wp:extent cx="4228465" cy="654050"/>
                    <wp:effectExtent l="0" t="0" r="381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8" w:name="kopf1"/>
                                      <w:bookmarkEnd w:id="8"/>
                                    </w:p>
                                  </w:tc>
                                  <w:tc>
                                    <w:tcPr>
                                      <w:tcW w:w="6196" w:type="dxa"/>
                                    </w:tcPr>
                                    <w:p w:rsidR="00BE7FAF" w:rsidRDefault="0025455A" w:rsidP="0025455A">
                                      <w:pPr>
                                        <w:spacing w:before="60"/>
                                        <w:ind w:left="85"/>
                                      </w:pPr>
                                      <w:r>
                                        <w:rPr>
                                          <w:noProof/>
                                        </w:rPr>
                                        <w:drawing>
                                          <wp:inline distT="0" distB="0" distL="0" distR="0" wp14:anchorId="52DE707D" wp14:editId="3A8E5236">
                                            <wp:extent cx="1938020" cy="537845"/>
                                            <wp:effectExtent l="1905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38727"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9" w:name="kopf1"/>
                                <w:bookmarkEnd w:id="9"/>
                              </w:p>
                            </w:tc>
                            <w:tc>
                              <w:tcPr>
                                <w:tcW w:w="6196" w:type="dxa"/>
                              </w:tcPr>
                              <w:p w:rsidR="00BE7FAF" w:rsidRDefault="0025455A" w:rsidP="0025455A">
                                <w:pPr>
                                  <w:spacing w:before="60"/>
                                  <w:ind w:left="85"/>
                                </w:pPr>
                                <w:r>
                                  <w:rPr>
                                    <w:noProof/>
                                  </w:rPr>
                                  <w:drawing>
                                    <wp:inline distT="0" distB="0" distL="0" distR="0" wp14:anchorId="52DE707D" wp14:editId="3A8E5236">
                                      <wp:extent cx="1938020" cy="537845"/>
                                      <wp:effectExtent l="1905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192" behindDoc="0" locked="0" layoutInCell="0" allowOverlap="1" wp14:anchorId="3B8C6D2A" wp14:editId="1544A560">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rsidP="00E80A79">
                                      <w:pPr>
                                        <w:pStyle w:val="EONangaben"/>
                                        <w:suppressAutoHyphens/>
                                        <w:rPr>
                                          <w:noProof/>
                                        </w:rPr>
                                      </w:pPr>
                                      <w:bookmarkStart w:id="10" w:name="Unternehmen"/>
                                      <w:bookmarkEnd w:id="10"/>
                                      <w:r>
                                        <w:rPr>
                                          <w:b/>
                                          <w:noProof/>
                                        </w:rPr>
                                        <w:t xml:space="preserve">Bayernwerk </w:t>
                                      </w:r>
                                      <w:r w:rsidR="00674C4D">
                                        <w:rPr>
                                          <w:b/>
                                          <w:noProof/>
                                        </w:rPr>
                                        <w:t>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1" w:name="Standort"/>
                                      <w:bookmarkEnd w:id="11"/>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F4290E">
                                      <w:pPr>
                                        <w:pStyle w:val="EONangaben"/>
                                        <w:suppressAutoHyphens/>
                                        <w:rPr>
                                          <w:noProof/>
                                        </w:rPr>
                                      </w:pPr>
                                      <w:bookmarkStart w:id="12" w:name="Bearbeiter"/>
                                      <w:bookmarkEnd w:id="12"/>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F4290E">
                                      <w:pPr>
                                        <w:pStyle w:val="EONangaben"/>
                                        <w:suppressAutoHyphens/>
                                        <w:rPr>
                                          <w:noProof/>
                                        </w:rPr>
                                      </w:pPr>
                                      <w:bookmarkStart w:id="13" w:name="fon"/>
                                      <w:bookmarkEnd w:id="13"/>
                                      <w:r>
                                        <w:rPr>
                                          <w:noProof/>
                                        </w:rPr>
                                        <w:t>09 41-2 01-78 24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4" w:name="fax"/>
                                      <w:bookmarkEnd w:id="14"/>
                                      <w:r>
                                        <w:rPr>
                                          <w:noProof/>
                                        </w:rPr>
                                        <w:t>09 41-2 01-70 23</w:t>
                                      </w:r>
                                    </w:p>
                                  </w:tc>
                                </w:tr>
                                <w:tr w:rsidR="00BE7FAF" w:rsidTr="001221F3">
                                  <w:tc>
                                    <w:tcPr>
                                      <w:tcW w:w="20" w:type="dxa"/>
                                    </w:tcPr>
                                    <w:p w:rsidR="00BE7FAF" w:rsidRDefault="00BE7FAF">
                                      <w:pPr>
                                        <w:pStyle w:val="EONangaben"/>
                                        <w:rPr>
                                          <w:noProof/>
                                        </w:rPr>
                                      </w:pPr>
                                    </w:p>
                                  </w:tc>
                                  <w:tc>
                                    <w:tcPr>
                                      <w:tcW w:w="2048" w:type="dxa"/>
                                      <w:gridSpan w:val="2"/>
                                    </w:tcPr>
                                    <w:p w:rsidR="0025455A" w:rsidRDefault="00F4290E">
                                      <w:pPr>
                                        <w:pStyle w:val="EONangaben"/>
                                        <w:suppressAutoHyphens/>
                                        <w:rPr>
                                          <w:noProof/>
                                        </w:rPr>
                                      </w:pPr>
                                      <w:bookmarkStart w:id="15" w:name="email"/>
                                      <w:bookmarkEnd w:id="15"/>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C6D2A" id="Text Box 23" o:spid="_x0000_s1029" type="#_x0000_t202" style="position:absolute;margin-left:467.8pt;margin-top:141.45pt;width:103.45pt;height:28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rsidP="00E80A79">
                                <w:pPr>
                                  <w:pStyle w:val="EONangaben"/>
                                  <w:suppressAutoHyphens/>
                                  <w:rPr>
                                    <w:noProof/>
                                  </w:rPr>
                                </w:pPr>
                                <w:bookmarkStart w:id="16" w:name="Unternehmen"/>
                                <w:bookmarkEnd w:id="16"/>
                                <w:r>
                                  <w:rPr>
                                    <w:b/>
                                    <w:noProof/>
                                  </w:rPr>
                                  <w:t xml:space="preserve">Bayernwerk </w:t>
                                </w:r>
                                <w:r w:rsidR="00674C4D">
                                  <w:rPr>
                                    <w:b/>
                                    <w:noProof/>
                                  </w:rPr>
                                  <w:t>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7" w:name="Standort"/>
                                <w:bookmarkEnd w:id="17"/>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F4290E">
                                <w:pPr>
                                  <w:pStyle w:val="EONangaben"/>
                                  <w:suppressAutoHyphens/>
                                  <w:rPr>
                                    <w:noProof/>
                                  </w:rPr>
                                </w:pPr>
                                <w:bookmarkStart w:id="18" w:name="Bearbeiter"/>
                                <w:bookmarkEnd w:id="18"/>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F4290E">
                                <w:pPr>
                                  <w:pStyle w:val="EONangaben"/>
                                  <w:suppressAutoHyphens/>
                                  <w:rPr>
                                    <w:noProof/>
                                  </w:rPr>
                                </w:pPr>
                                <w:bookmarkStart w:id="19" w:name="fon"/>
                                <w:bookmarkEnd w:id="19"/>
                                <w:r>
                                  <w:rPr>
                                    <w:noProof/>
                                  </w:rPr>
                                  <w:t>09 41-2 01-78 24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0" w:name="fax"/>
                                <w:bookmarkEnd w:id="20"/>
                                <w:r>
                                  <w:rPr>
                                    <w:noProof/>
                                  </w:rPr>
                                  <w:t>09 41-2 01-70 23</w:t>
                                </w:r>
                              </w:p>
                            </w:tc>
                          </w:tr>
                          <w:tr w:rsidR="00BE7FAF" w:rsidTr="001221F3">
                            <w:tc>
                              <w:tcPr>
                                <w:tcW w:w="20" w:type="dxa"/>
                              </w:tcPr>
                              <w:p w:rsidR="00BE7FAF" w:rsidRDefault="00BE7FAF">
                                <w:pPr>
                                  <w:pStyle w:val="EONangaben"/>
                                  <w:rPr>
                                    <w:noProof/>
                                  </w:rPr>
                                </w:pPr>
                              </w:p>
                            </w:tc>
                            <w:tc>
                              <w:tcPr>
                                <w:tcW w:w="2048" w:type="dxa"/>
                                <w:gridSpan w:val="2"/>
                              </w:tcPr>
                              <w:p w:rsidR="0025455A" w:rsidRDefault="00F4290E">
                                <w:pPr>
                                  <w:pStyle w:val="EONangaben"/>
                                  <w:suppressAutoHyphens/>
                                  <w:rPr>
                                    <w:noProof/>
                                  </w:rPr>
                                </w:pPr>
                                <w:bookmarkStart w:id="21" w:name="email"/>
                                <w:bookmarkEnd w:id="21"/>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A16"/>
    <w:multiLevelType w:val="singleLevel"/>
    <w:tmpl w:val="FC24A7D4"/>
    <w:lvl w:ilvl="0">
      <w:start w:val="1"/>
      <w:numFmt w:val="decimal"/>
      <w:lvlText w:val="%1."/>
      <w:lvlJc w:val="left"/>
      <w:pPr>
        <w:tabs>
          <w:tab w:val="num" w:pos="357"/>
        </w:tabs>
        <w:ind w:left="357" w:hanging="357"/>
      </w:pPr>
    </w:lvl>
  </w:abstractNum>
  <w:abstractNum w:abstractNumId="1" w15:restartNumberingAfterBreak="0">
    <w:nsid w:val="2A3C7055"/>
    <w:multiLevelType w:val="singleLevel"/>
    <w:tmpl w:val="15DE3AA6"/>
    <w:lvl w:ilvl="0">
      <w:start w:val="1"/>
      <w:numFmt w:val="decimal"/>
      <w:lvlText w:val="%1."/>
      <w:lvlJc w:val="left"/>
      <w:pPr>
        <w:tabs>
          <w:tab w:val="num" w:pos="357"/>
        </w:tabs>
        <w:ind w:left="357" w:hanging="357"/>
      </w:pPr>
    </w:lvl>
  </w:abstractNum>
  <w:abstractNum w:abstractNumId="2" w15:restartNumberingAfterBreak="0">
    <w:nsid w:val="34F97845"/>
    <w:multiLevelType w:val="singleLevel"/>
    <w:tmpl w:val="3A36BB48"/>
    <w:lvl w:ilvl="0">
      <w:start w:val="1"/>
      <w:numFmt w:val="bullet"/>
      <w:lvlRestart w:val="0"/>
      <w:lvlText w:val="·"/>
      <w:lvlJc w:val="left"/>
      <w:pPr>
        <w:tabs>
          <w:tab w:val="num" w:pos="357"/>
        </w:tabs>
        <w:ind w:left="357" w:hanging="357"/>
      </w:pPr>
      <w:rPr>
        <w:rFonts w:ascii="Symbol" w:hAnsi="Symbol" w:hint="default"/>
      </w:rPr>
    </w:lvl>
  </w:abstractNum>
  <w:abstractNum w:abstractNumId="3" w15:restartNumberingAfterBreak="0">
    <w:nsid w:val="40C338BE"/>
    <w:multiLevelType w:val="singleLevel"/>
    <w:tmpl w:val="2014E24E"/>
    <w:lvl w:ilvl="0">
      <w:start w:val="1"/>
      <w:numFmt w:val="decimal"/>
      <w:lvlText w:val="%1."/>
      <w:lvlJc w:val="left"/>
      <w:pPr>
        <w:tabs>
          <w:tab w:val="num" w:pos="357"/>
        </w:tabs>
        <w:ind w:left="357" w:hanging="357"/>
      </w:pPr>
    </w:lvl>
  </w:abstractNum>
  <w:abstractNum w:abstractNumId="4" w15:restartNumberingAfterBreak="0">
    <w:nsid w:val="4E165EE3"/>
    <w:multiLevelType w:val="hybridMultilevel"/>
    <w:tmpl w:val="D6C83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6D30C9"/>
    <w:multiLevelType w:val="singleLevel"/>
    <w:tmpl w:val="70306C7E"/>
    <w:lvl w:ilvl="0">
      <w:start w:val="1"/>
      <w:numFmt w:val="decimal"/>
      <w:lvlText w:val="%1."/>
      <w:lvlJc w:val="left"/>
      <w:pPr>
        <w:tabs>
          <w:tab w:val="num" w:pos="357"/>
        </w:tabs>
        <w:ind w:left="357" w:hanging="357"/>
      </w:pPr>
    </w:lvl>
  </w:abstractNum>
  <w:abstractNum w:abstractNumId="6" w15:restartNumberingAfterBreak="0">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7" w15:restartNumberingAfterBreak="0">
    <w:nsid w:val="60CE0CCF"/>
    <w:multiLevelType w:val="singleLevel"/>
    <w:tmpl w:val="F1060D3A"/>
    <w:lvl w:ilvl="0">
      <w:start w:val="1"/>
      <w:numFmt w:val="bullet"/>
      <w:lvlRestart w:val="0"/>
      <w:lvlText w:val="·"/>
      <w:lvlJc w:val="left"/>
      <w:pPr>
        <w:tabs>
          <w:tab w:val="num" w:pos="357"/>
        </w:tabs>
        <w:ind w:left="357" w:hanging="357"/>
      </w:pPr>
      <w:rPr>
        <w:rFonts w:ascii="Symbol" w:hAnsi="Symbol" w:hint="default"/>
      </w:rPr>
    </w:lvl>
  </w:abstractNum>
  <w:abstractNum w:abstractNumId="8" w15:restartNumberingAfterBreak="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num w:numId="1">
    <w:abstractNumId w:val="8"/>
  </w:num>
  <w:num w:numId="2">
    <w:abstractNumId w:val="1"/>
  </w:num>
  <w:num w:numId="3">
    <w:abstractNumId w:val="6"/>
  </w:num>
  <w:num w:numId="4">
    <w:abstractNumId w:val="0"/>
  </w:num>
  <w:num w:numId="5">
    <w:abstractNumId w:val="2"/>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E80A79"/>
    <w:rsid w:val="000122F6"/>
    <w:rsid w:val="00020F6C"/>
    <w:rsid w:val="00021531"/>
    <w:rsid w:val="000251E9"/>
    <w:rsid w:val="00027C51"/>
    <w:rsid w:val="00035CA2"/>
    <w:rsid w:val="00036EAF"/>
    <w:rsid w:val="00045B85"/>
    <w:rsid w:val="000649F4"/>
    <w:rsid w:val="00071127"/>
    <w:rsid w:val="000779C2"/>
    <w:rsid w:val="000808B4"/>
    <w:rsid w:val="0008322B"/>
    <w:rsid w:val="00092BC3"/>
    <w:rsid w:val="00092DC3"/>
    <w:rsid w:val="000930A5"/>
    <w:rsid w:val="00093C7C"/>
    <w:rsid w:val="000B2FBD"/>
    <w:rsid w:val="000B60EF"/>
    <w:rsid w:val="000C332E"/>
    <w:rsid w:val="000D5176"/>
    <w:rsid w:val="000E3703"/>
    <w:rsid w:val="000F2CAC"/>
    <w:rsid w:val="000F63AC"/>
    <w:rsid w:val="00102C1A"/>
    <w:rsid w:val="00106C1F"/>
    <w:rsid w:val="0011130B"/>
    <w:rsid w:val="001155F6"/>
    <w:rsid w:val="001221F3"/>
    <w:rsid w:val="00123819"/>
    <w:rsid w:val="00124C73"/>
    <w:rsid w:val="00132DBE"/>
    <w:rsid w:val="00135472"/>
    <w:rsid w:val="001354A6"/>
    <w:rsid w:val="0015504A"/>
    <w:rsid w:val="00157236"/>
    <w:rsid w:val="0016774D"/>
    <w:rsid w:val="00177BCF"/>
    <w:rsid w:val="0018507E"/>
    <w:rsid w:val="00185F91"/>
    <w:rsid w:val="001861CC"/>
    <w:rsid w:val="00186DB4"/>
    <w:rsid w:val="00193B51"/>
    <w:rsid w:val="001B5C20"/>
    <w:rsid w:val="001B73C8"/>
    <w:rsid w:val="001E21AB"/>
    <w:rsid w:val="001F0157"/>
    <w:rsid w:val="001F3147"/>
    <w:rsid w:val="001F4B7B"/>
    <w:rsid w:val="001F62F4"/>
    <w:rsid w:val="0020345C"/>
    <w:rsid w:val="00203FC5"/>
    <w:rsid w:val="002125AE"/>
    <w:rsid w:val="0021318D"/>
    <w:rsid w:val="00217FBF"/>
    <w:rsid w:val="0022001C"/>
    <w:rsid w:val="00232BF9"/>
    <w:rsid w:val="002412FE"/>
    <w:rsid w:val="00243740"/>
    <w:rsid w:val="00243F9B"/>
    <w:rsid w:val="002454E8"/>
    <w:rsid w:val="00252775"/>
    <w:rsid w:val="0025455A"/>
    <w:rsid w:val="002556FB"/>
    <w:rsid w:val="0025609E"/>
    <w:rsid w:val="002603F8"/>
    <w:rsid w:val="00264CF5"/>
    <w:rsid w:val="00286E1D"/>
    <w:rsid w:val="0028757F"/>
    <w:rsid w:val="002A0A78"/>
    <w:rsid w:val="002A57D8"/>
    <w:rsid w:val="002B7F4A"/>
    <w:rsid w:val="002C1151"/>
    <w:rsid w:val="002D1AEB"/>
    <w:rsid w:val="002D2B23"/>
    <w:rsid w:val="002D540A"/>
    <w:rsid w:val="002E24E4"/>
    <w:rsid w:val="002F2CBC"/>
    <w:rsid w:val="003000E8"/>
    <w:rsid w:val="00301C2A"/>
    <w:rsid w:val="00310B1F"/>
    <w:rsid w:val="00311159"/>
    <w:rsid w:val="0031168A"/>
    <w:rsid w:val="00311939"/>
    <w:rsid w:val="00314073"/>
    <w:rsid w:val="0031729F"/>
    <w:rsid w:val="00326D2C"/>
    <w:rsid w:val="00343410"/>
    <w:rsid w:val="00353E81"/>
    <w:rsid w:val="00366B56"/>
    <w:rsid w:val="003800CC"/>
    <w:rsid w:val="003B00A9"/>
    <w:rsid w:val="003B2401"/>
    <w:rsid w:val="003D0407"/>
    <w:rsid w:val="003D0C69"/>
    <w:rsid w:val="003D20DD"/>
    <w:rsid w:val="003D5587"/>
    <w:rsid w:val="003D5E05"/>
    <w:rsid w:val="003E0C88"/>
    <w:rsid w:val="003E3C34"/>
    <w:rsid w:val="003F00E3"/>
    <w:rsid w:val="003F0274"/>
    <w:rsid w:val="003F3E97"/>
    <w:rsid w:val="00405198"/>
    <w:rsid w:val="00406F3E"/>
    <w:rsid w:val="00424C49"/>
    <w:rsid w:val="0042619E"/>
    <w:rsid w:val="004349E0"/>
    <w:rsid w:val="00444E94"/>
    <w:rsid w:val="004669B6"/>
    <w:rsid w:val="0047663F"/>
    <w:rsid w:val="00480933"/>
    <w:rsid w:val="00483837"/>
    <w:rsid w:val="004A29E3"/>
    <w:rsid w:val="004B6993"/>
    <w:rsid w:val="004D06FB"/>
    <w:rsid w:val="004D0A82"/>
    <w:rsid w:val="004D78D9"/>
    <w:rsid w:val="004E0160"/>
    <w:rsid w:val="004E2870"/>
    <w:rsid w:val="004F556D"/>
    <w:rsid w:val="004F7D9A"/>
    <w:rsid w:val="0050288E"/>
    <w:rsid w:val="005320B0"/>
    <w:rsid w:val="00542F82"/>
    <w:rsid w:val="0055070D"/>
    <w:rsid w:val="00553BC9"/>
    <w:rsid w:val="00575CAF"/>
    <w:rsid w:val="005818EC"/>
    <w:rsid w:val="005911E8"/>
    <w:rsid w:val="005926E9"/>
    <w:rsid w:val="005957F4"/>
    <w:rsid w:val="005A3A07"/>
    <w:rsid w:val="005B2C03"/>
    <w:rsid w:val="005C6210"/>
    <w:rsid w:val="005D072D"/>
    <w:rsid w:val="005F1372"/>
    <w:rsid w:val="005F7C0C"/>
    <w:rsid w:val="006005FE"/>
    <w:rsid w:val="00601EB4"/>
    <w:rsid w:val="006058F4"/>
    <w:rsid w:val="0060642D"/>
    <w:rsid w:val="0061227B"/>
    <w:rsid w:val="00614193"/>
    <w:rsid w:val="00631F2C"/>
    <w:rsid w:val="0063471A"/>
    <w:rsid w:val="00640FD7"/>
    <w:rsid w:val="00644CFE"/>
    <w:rsid w:val="006646C2"/>
    <w:rsid w:val="0066683F"/>
    <w:rsid w:val="00670727"/>
    <w:rsid w:val="00674C4D"/>
    <w:rsid w:val="006812E0"/>
    <w:rsid w:val="0069479D"/>
    <w:rsid w:val="006968AA"/>
    <w:rsid w:val="006B19DE"/>
    <w:rsid w:val="006B29D7"/>
    <w:rsid w:val="006B4A66"/>
    <w:rsid w:val="006D50F6"/>
    <w:rsid w:val="006E28FA"/>
    <w:rsid w:val="006E5970"/>
    <w:rsid w:val="00700C67"/>
    <w:rsid w:val="00706A90"/>
    <w:rsid w:val="007074BF"/>
    <w:rsid w:val="00712B2F"/>
    <w:rsid w:val="00716C8B"/>
    <w:rsid w:val="007215BC"/>
    <w:rsid w:val="0075193A"/>
    <w:rsid w:val="0075580E"/>
    <w:rsid w:val="00756E64"/>
    <w:rsid w:val="007632E6"/>
    <w:rsid w:val="00765E79"/>
    <w:rsid w:val="00772F37"/>
    <w:rsid w:val="00773216"/>
    <w:rsid w:val="00773223"/>
    <w:rsid w:val="00774F81"/>
    <w:rsid w:val="007778A8"/>
    <w:rsid w:val="00777D7C"/>
    <w:rsid w:val="007840CB"/>
    <w:rsid w:val="00790C7C"/>
    <w:rsid w:val="00794BB5"/>
    <w:rsid w:val="00795E6A"/>
    <w:rsid w:val="0079610A"/>
    <w:rsid w:val="007A2D69"/>
    <w:rsid w:val="007A746B"/>
    <w:rsid w:val="007B1DD9"/>
    <w:rsid w:val="007B727B"/>
    <w:rsid w:val="007C5003"/>
    <w:rsid w:val="007F5217"/>
    <w:rsid w:val="007F63E6"/>
    <w:rsid w:val="00805162"/>
    <w:rsid w:val="008103B9"/>
    <w:rsid w:val="00811CA4"/>
    <w:rsid w:val="008175A6"/>
    <w:rsid w:val="0081792F"/>
    <w:rsid w:val="0082678A"/>
    <w:rsid w:val="0084218C"/>
    <w:rsid w:val="00844935"/>
    <w:rsid w:val="00853C45"/>
    <w:rsid w:val="0085479E"/>
    <w:rsid w:val="00860607"/>
    <w:rsid w:val="00860982"/>
    <w:rsid w:val="00870365"/>
    <w:rsid w:val="00880422"/>
    <w:rsid w:val="00886D23"/>
    <w:rsid w:val="00894166"/>
    <w:rsid w:val="008A1F0C"/>
    <w:rsid w:val="008C7B75"/>
    <w:rsid w:val="008F284B"/>
    <w:rsid w:val="00900493"/>
    <w:rsid w:val="009267BF"/>
    <w:rsid w:val="0093259B"/>
    <w:rsid w:val="00935230"/>
    <w:rsid w:val="00940ADD"/>
    <w:rsid w:val="00941E26"/>
    <w:rsid w:val="00954214"/>
    <w:rsid w:val="0096418C"/>
    <w:rsid w:val="00967508"/>
    <w:rsid w:val="00970EE4"/>
    <w:rsid w:val="00975074"/>
    <w:rsid w:val="00984CB6"/>
    <w:rsid w:val="00987C26"/>
    <w:rsid w:val="00987E4D"/>
    <w:rsid w:val="00993F7E"/>
    <w:rsid w:val="00997BD8"/>
    <w:rsid w:val="009A3BA7"/>
    <w:rsid w:val="009A7D93"/>
    <w:rsid w:val="009B6721"/>
    <w:rsid w:val="009C4201"/>
    <w:rsid w:val="009C4425"/>
    <w:rsid w:val="009C62CD"/>
    <w:rsid w:val="009D691D"/>
    <w:rsid w:val="009E2B90"/>
    <w:rsid w:val="009F1355"/>
    <w:rsid w:val="009F40A2"/>
    <w:rsid w:val="009F41A3"/>
    <w:rsid w:val="00A0644B"/>
    <w:rsid w:val="00A12DA1"/>
    <w:rsid w:val="00A1410F"/>
    <w:rsid w:val="00A17652"/>
    <w:rsid w:val="00A272BE"/>
    <w:rsid w:val="00A31152"/>
    <w:rsid w:val="00A45D8C"/>
    <w:rsid w:val="00A5176D"/>
    <w:rsid w:val="00A55032"/>
    <w:rsid w:val="00A62DE5"/>
    <w:rsid w:val="00A65620"/>
    <w:rsid w:val="00A65E8B"/>
    <w:rsid w:val="00A674FE"/>
    <w:rsid w:val="00A771A0"/>
    <w:rsid w:val="00A835EA"/>
    <w:rsid w:val="00A8360D"/>
    <w:rsid w:val="00A83CD2"/>
    <w:rsid w:val="00A85DFA"/>
    <w:rsid w:val="00A9029D"/>
    <w:rsid w:val="00A9076A"/>
    <w:rsid w:val="00A92530"/>
    <w:rsid w:val="00A93517"/>
    <w:rsid w:val="00AC0357"/>
    <w:rsid w:val="00AC24EB"/>
    <w:rsid w:val="00AC4D2F"/>
    <w:rsid w:val="00AD66B7"/>
    <w:rsid w:val="00AD71BD"/>
    <w:rsid w:val="00AE0911"/>
    <w:rsid w:val="00AE3E26"/>
    <w:rsid w:val="00B00471"/>
    <w:rsid w:val="00B216D1"/>
    <w:rsid w:val="00B30289"/>
    <w:rsid w:val="00B45310"/>
    <w:rsid w:val="00B53F1C"/>
    <w:rsid w:val="00B5446E"/>
    <w:rsid w:val="00B57AF6"/>
    <w:rsid w:val="00B65C96"/>
    <w:rsid w:val="00B71322"/>
    <w:rsid w:val="00B95B65"/>
    <w:rsid w:val="00BA3C82"/>
    <w:rsid w:val="00BA50CF"/>
    <w:rsid w:val="00BA668F"/>
    <w:rsid w:val="00BB28AF"/>
    <w:rsid w:val="00BB777C"/>
    <w:rsid w:val="00BC0C72"/>
    <w:rsid w:val="00BC6EC3"/>
    <w:rsid w:val="00BD5C0D"/>
    <w:rsid w:val="00BE7FAF"/>
    <w:rsid w:val="00BF6A69"/>
    <w:rsid w:val="00BF754A"/>
    <w:rsid w:val="00C021AF"/>
    <w:rsid w:val="00C11382"/>
    <w:rsid w:val="00C13F35"/>
    <w:rsid w:val="00C20CFF"/>
    <w:rsid w:val="00C21182"/>
    <w:rsid w:val="00C2398D"/>
    <w:rsid w:val="00C32EBC"/>
    <w:rsid w:val="00C33E00"/>
    <w:rsid w:val="00C34124"/>
    <w:rsid w:val="00C363F1"/>
    <w:rsid w:val="00C402ED"/>
    <w:rsid w:val="00C44DF9"/>
    <w:rsid w:val="00C570C7"/>
    <w:rsid w:val="00C6667D"/>
    <w:rsid w:val="00C6756F"/>
    <w:rsid w:val="00C67673"/>
    <w:rsid w:val="00C7021E"/>
    <w:rsid w:val="00C7269E"/>
    <w:rsid w:val="00C767DD"/>
    <w:rsid w:val="00C83230"/>
    <w:rsid w:val="00C8632B"/>
    <w:rsid w:val="00C87A7B"/>
    <w:rsid w:val="00C92C47"/>
    <w:rsid w:val="00C947B9"/>
    <w:rsid w:val="00C95B02"/>
    <w:rsid w:val="00C9606F"/>
    <w:rsid w:val="00C9611B"/>
    <w:rsid w:val="00CA47C6"/>
    <w:rsid w:val="00CB6BEF"/>
    <w:rsid w:val="00CB6F12"/>
    <w:rsid w:val="00CC27CA"/>
    <w:rsid w:val="00CD4664"/>
    <w:rsid w:val="00CD486F"/>
    <w:rsid w:val="00CE7B7F"/>
    <w:rsid w:val="00CF38A3"/>
    <w:rsid w:val="00CF3ED8"/>
    <w:rsid w:val="00D03689"/>
    <w:rsid w:val="00D20959"/>
    <w:rsid w:val="00D2754F"/>
    <w:rsid w:val="00D42CAC"/>
    <w:rsid w:val="00D4420E"/>
    <w:rsid w:val="00D51191"/>
    <w:rsid w:val="00D51420"/>
    <w:rsid w:val="00D5177D"/>
    <w:rsid w:val="00D5265A"/>
    <w:rsid w:val="00D548F0"/>
    <w:rsid w:val="00D66B1E"/>
    <w:rsid w:val="00D764F0"/>
    <w:rsid w:val="00D767A5"/>
    <w:rsid w:val="00D772A5"/>
    <w:rsid w:val="00DA2583"/>
    <w:rsid w:val="00DA304E"/>
    <w:rsid w:val="00DB3CC6"/>
    <w:rsid w:val="00DB683E"/>
    <w:rsid w:val="00DC6619"/>
    <w:rsid w:val="00DD00B3"/>
    <w:rsid w:val="00DD117C"/>
    <w:rsid w:val="00DD237E"/>
    <w:rsid w:val="00DD6C66"/>
    <w:rsid w:val="00DE22A1"/>
    <w:rsid w:val="00DE3441"/>
    <w:rsid w:val="00DE59F8"/>
    <w:rsid w:val="00DE629E"/>
    <w:rsid w:val="00DE6596"/>
    <w:rsid w:val="00E16F5F"/>
    <w:rsid w:val="00E30067"/>
    <w:rsid w:val="00E40FF0"/>
    <w:rsid w:val="00E47C25"/>
    <w:rsid w:val="00E52ABA"/>
    <w:rsid w:val="00E55679"/>
    <w:rsid w:val="00E55A0B"/>
    <w:rsid w:val="00E604AA"/>
    <w:rsid w:val="00E7326F"/>
    <w:rsid w:val="00E80A79"/>
    <w:rsid w:val="00E85A32"/>
    <w:rsid w:val="00E877A1"/>
    <w:rsid w:val="00E87E43"/>
    <w:rsid w:val="00E9511A"/>
    <w:rsid w:val="00E96A02"/>
    <w:rsid w:val="00EA0F35"/>
    <w:rsid w:val="00EB040E"/>
    <w:rsid w:val="00EC79E4"/>
    <w:rsid w:val="00ED359D"/>
    <w:rsid w:val="00EE0412"/>
    <w:rsid w:val="00EE7534"/>
    <w:rsid w:val="00F05418"/>
    <w:rsid w:val="00F07090"/>
    <w:rsid w:val="00F120EA"/>
    <w:rsid w:val="00F2656E"/>
    <w:rsid w:val="00F27B44"/>
    <w:rsid w:val="00F304E2"/>
    <w:rsid w:val="00F347C9"/>
    <w:rsid w:val="00F349F4"/>
    <w:rsid w:val="00F40BA0"/>
    <w:rsid w:val="00F4290E"/>
    <w:rsid w:val="00F5085A"/>
    <w:rsid w:val="00F56FC7"/>
    <w:rsid w:val="00F57303"/>
    <w:rsid w:val="00F73024"/>
    <w:rsid w:val="00F82185"/>
    <w:rsid w:val="00F82C06"/>
    <w:rsid w:val="00FA1E40"/>
    <w:rsid w:val="00FA394E"/>
    <w:rsid w:val="00FA5347"/>
    <w:rsid w:val="00FB03AE"/>
    <w:rsid w:val="00FD4861"/>
    <w:rsid w:val="00FE1890"/>
    <w:rsid w:val="00FE1D68"/>
    <w:rsid w:val="00FE3FFD"/>
    <w:rsid w:val="00FE6B1B"/>
    <w:rsid w:val="00FF0F34"/>
    <w:rsid w:val="00FF483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C502D"/>
  <w15:docId w15:val="{2D864357-5104-440B-B880-1647E811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Textkrper">
    <w:name w:val="Body Text"/>
    <w:basedOn w:val="Standard"/>
    <w:link w:val="TextkrperZchn"/>
    <w:uiPriority w:val="99"/>
    <w:unhideWhenUsed/>
    <w:rsid w:val="00D767A5"/>
    <w:pPr>
      <w:spacing w:line="280" w:lineRule="atLeast"/>
    </w:pPr>
    <w:rPr>
      <w:rFonts w:eastAsiaTheme="minorHAnsi"/>
      <w:sz w:val="24"/>
      <w:szCs w:val="24"/>
    </w:rPr>
  </w:style>
  <w:style w:type="character" w:customStyle="1" w:styleId="TextkrperZchn">
    <w:name w:val="Textkörper Zchn"/>
    <w:basedOn w:val="Absatz-Standardschriftart"/>
    <w:link w:val="Textkrper"/>
    <w:uiPriority w:val="99"/>
    <w:rsid w:val="00D767A5"/>
    <w:rPr>
      <w:rFonts w:eastAsiaTheme="minorHAnsi"/>
      <w:sz w:val="24"/>
      <w:szCs w:val="24"/>
    </w:rPr>
  </w:style>
  <w:style w:type="paragraph" w:styleId="Kommentartext">
    <w:name w:val="annotation text"/>
    <w:basedOn w:val="Standard"/>
    <w:link w:val="KommentartextZchn1"/>
    <w:semiHidden/>
    <w:unhideWhenUsed/>
    <w:rsid w:val="003F0274"/>
    <w:pPr>
      <w:spacing w:line="240" w:lineRule="auto"/>
    </w:pPr>
    <w:rPr>
      <w:sz w:val="20"/>
    </w:rPr>
  </w:style>
  <w:style w:type="character" w:customStyle="1" w:styleId="KommentartextZchn">
    <w:name w:val="Kommentartext Zchn"/>
    <w:basedOn w:val="Absatz-Standardschriftart"/>
    <w:semiHidden/>
    <w:rsid w:val="003F0274"/>
  </w:style>
  <w:style w:type="character" w:styleId="Kommentarzeichen">
    <w:name w:val="annotation reference"/>
    <w:basedOn w:val="Absatz-Standardschriftart"/>
    <w:semiHidden/>
    <w:unhideWhenUsed/>
    <w:rsid w:val="003F0274"/>
    <w:rPr>
      <w:sz w:val="16"/>
      <w:szCs w:val="16"/>
    </w:rPr>
  </w:style>
  <w:style w:type="character" w:customStyle="1" w:styleId="KommentartextZchn1">
    <w:name w:val="Kommentartext Zchn1"/>
    <w:basedOn w:val="Absatz-Standardschriftart"/>
    <w:link w:val="Kommentartext"/>
    <w:uiPriority w:val="99"/>
    <w:semiHidden/>
    <w:locked/>
    <w:rsid w:val="003F0274"/>
  </w:style>
  <w:style w:type="paragraph" w:styleId="Kommentarthema">
    <w:name w:val="annotation subject"/>
    <w:basedOn w:val="Kommentartext"/>
    <w:next w:val="Kommentartext"/>
    <w:link w:val="KommentarthemaZchn"/>
    <w:semiHidden/>
    <w:unhideWhenUsed/>
    <w:rsid w:val="00935230"/>
    <w:rPr>
      <w:b/>
      <w:bCs/>
    </w:rPr>
  </w:style>
  <w:style w:type="character" w:customStyle="1" w:styleId="KommentarthemaZchn">
    <w:name w:val="Kommentarthema Zchn"/>
    <w:basedOn w:val="KommentartextZchn1"/>
    <w:link w:val="Kommentarthema"/>
    <w:semiHidden/>
    <w:rsid w:val="00935230"/>
    <w:rPr>
      <w:b/>
      <w:bCs/>
    </w:rPr>
  </w:style>
  <w:style w:type="character" w:styleId="Platzhaltertext">
    <w:name w:val="Placeholder Text"/>
    <w:basedOn w:val="Absatz-Standardschriftart"/>
    <w:uiPriority w:val="99"/>
    <w:semiHidden/>
    <w:rsid w:val="00614193"/>
    <w:rPr>
      <w:color w:val="808080"/>
    </w:rPr>
  </w:style>
  <w:style w:type="character" w:styleId="Hyperlink">
    <w:name w:val="Hyperlink"/>
    <w:basedOn w:val="Absatz-Standardschriftart"/>
    <w:uiPriority w:val="99"/>
    <w:semiHidden/>
    <w:unhideWhenUsed/>
    <w:rsid w:val="00674C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6068">
      <w:bodyDiv w:val="1"/>
      <w:marLeft w:val="0"/>
      <w:marRight w:val="0"/>
      <w:marTop w:val="0"/>
      <w:marBottom w:val="0"/>
      <w:divBdr>
        <w:top w:val="none" w:sz="0" w:space="0" w:color="auto"/>
        <w:left w:val="none" w:sz="0" w:space="0" w:color="auto"/>
        <w:bottom w:val="none" w:sz="0" w:space="0" w:color="auto"/>
        <w:right w:val="none" w:sz="0" w:space="0" w:color="auto"/>
      </w:divBdr>
    </w:div>
    <w:div w:id="1156412778">
      <w:bodyDiv w:val="1"/>
      <w:marLeft w:val="0"/>
      <w:marRight w:val="0"/>
      <w:marTop w:val="0"/>
      <w:marBottom w:val="0"/>
      <w:divBdr>
        <w:top w:val="none" w:sz="0" w:space="0" w:color="auto"/>
        <w:left w:val="none" w:sz="0" w:space="0" w:color="auto"/>
        <w:bottom w:val="none" w:sz="0" w:space="0" w:color="auto"/>
        <w:right w:val="none" w:sz="0" w:space="0" w:color="auto"/>
      </w:divBdr>
    </w:div>
    <w:div w:id="1546479376">
      <w:bodyDiv w:val="1"/>
      <w:marLeft w:val="0"/>
      <w:marRight w:val="0"/>
      <w:marTop w:val="0"/>
      <w:marBottom w:val="0"/>
      <w:divBdr>
        <w:top w:val="none" w:sz="0" w:space="0" w:color="auto"/>
        <w:left w:val="none" w:sz="0" w:space="0" w:color="auto"/>
        <w:bottom w:val="none" w:sz="0" w:space="0" w:color="auto"/>
        <w:right w:val="none" w:sz="0" w:space="0" w:color="auto"/>
      </w:divBdr>
    </w:div>
    <w:div w:id="1659071337">
      <w:bodyDiv w:val="1"/>
      <w:marLeft w:val="0"/>
      <w:marRight w:val="0"/>
      <w:marTop w:val="0"/>
      <w:marBottom w:val="0"/>
      <w:divBdr>
        <w:top w:val="none" w:sz="0" w:space="0" w:color="auto"/>
        <w:left w:val="none" w:sz="0" w:space="0" w:color="auto"/>
        <w:bottom w:val="none" w:sz="0" w:space="0" w:color="auto"/>
        <w:right w:val="none" w:sz="0" w:space="0" w:color="auto"/>
      </w:divBdr>
    </w:div>
    <w:div w:id="1743066377">
      <w:bodyDiv w:val="1"/>
      <w:marLeft w:val="0"/>
      <w:marRight w:val="0"/>
      <w:marTop w:val="0"/>
      <w:marBottom w:val="0"/>
      <w:divBdr>
        <w:top w:val="none" w:sz="0" w:space="0" w:color="auto"/>
        <w:left w:val="none" w:sz="0" w:space="0" w:color="auto"/>
        <w:bottom w:val="none" w:sz="0" w:space="0" w:color="auto"/>
        <w:right w:val="none" w:sz="0" w:space="0" w:color="auto"/>
      </w:divBdr>
    </w:div>
    <w:div w:id="19761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yernwerk.de/flowerpow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Desktop\Pressemitteilung_Vorlage_Z&#228;ng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F13C0-4358-448A-A922-C47F82D8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Pressemitteilung_Vorlage_Zängl</Template>
  <TotalTime>0</TotalTime>
  <Pages>2</Pages>
  <Words>396</Words>
  <Characters>2801</Characters>
  <Application>Microsoft Office Word</Application>
  <DocSecurity>0</DocSecurity>
  <Lines>96</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s37708</dc:creator>
  <dc:description>Version 7.3 ; Stand 2012-06-28</dc:description>
  <cp:lastModifiedBy>Köppl, Manuel</cp:lastModifiedBy>
  <cp:revision>3</cp:revision>
  <cp:lastPrinted>2019-05-07T14:33:00Z</cp:lastPrinted>
  <dcterms:created xsi:type="dcterms:W3CDTF">2019-06-12T14:25:00Z</dcterms:created>
  <dcterms:modified xsi:type="dcterms:W3CDTF">2019-06-12T14:27:00Z</dcterms:modified>
</cp:coreProperties>
</file>