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05757F8A" w14:textId="2A49BEE5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06607E">
        <w:rPr>
          <w:rFonts w:ascii="Be Vietnam Pro" w:hAnsi="Be Vietnam Pro" w:cs="Arial"/>
          <w:b/>
          <w:sz w:val="28"/>
          <w:szCs w:val="28"/>
        </w:rPr>
        <w:t xml:space="preserve">3. März </w:t>
      </w:r>
      <w:r w:rsidRPr="006D33B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6D33B9">
        <w:rPr>
          <w:rFonts w:ascii="Be Vietnam Pro" w:hAnsi="Be Vietnam Pro" w:cs="Arial"/>
          <w:b/>
          <w:sz w:val="28"/>
          <w:szCs w:val="28"/>
        </w:rPr>
        <w:t>5</w:t>
      </w:r>
    </w:p>
    <w:p w14:paraId="20AEC6AA" w14:textId="7308581B" w:rsidR="00477C48" w:rsidRDefault="0006607E" w:rsidP="00477C48">
      <w:pPr>
        <w:rPr>
          <w:rFonts w:ascii="Be Vietnam Pro" w:hAnsi="Be Vietnam Pro"/>
        </w:rPr>
      </w:pPr>
      <w:r>
        <w:rPr>
          <w:rFonts w:ascii="Be Vietnam Pro" w:hAnsi="Be Vietnam Pro"/>
          <w:b/>
          <w:bCs/>
          <w:sz w:val="28"/>
          <w:szCs w:val="28"/>
        </w:rPr>
        <w:br/>
      </w:r>
      <w:r w:rsidR="008C3048" w:rsidRPr="00477C48">
        <w:rPr>
          <w:rFonts w:ascii="Be Vietnam Pro" w:hAnsi="Be Vietnam Pro"/>
          <w:b/>
          <w:bCs/>
          <w:sz w:val="28"/>
          <w:szCs w:val="28"/>
        </w:rPr>
        <w:t>Erfolgreich: Wassertourismus in Berlin-Brandenburg</w:t>
      </w:r>
      <w:r w:rsidR="008C3048" w:rsidRPr="00477C48">
        <w:rPr>
          <w:rFonts w:ascii="Be Vietnam Pro" w:hAnsi="Be Vietnam Pro"/>
          <w:sz w:val="28"/>
          <w:szCs w:val="28"/>
        </w:rPr>
        <w:br/>
      </w:r>
      <w:r>
        <w:rPr>
          <w:rFonts w:ascii="Be Vietnam Pro" w:hAnsi="Be Vietnam Pro"/>
          <w:b/>
          <w:bCs/>
          <w:sz w:val="24"/>
          <w:szCs w:val="24"/>
        </w:rPr>
        <w:br/>
      </w:r>
      <w:r w:rsidR="008C3048" w:rsidRPr="00477C48">
        <w:rPr>
          <w:rFonts w:ascii="Be Vietnam Pro" w:hAnsi="Be Vietnam Pro"/>
          <w:b/>
          <w:bCs/>
          <w:sz w:val="24"/>
          <w:szCs w:val="24"/>
        </w:rPr>
        <w:t>Bedeutender Wirtschaftsfaktor der Metropolregion</w:t>
      </w:r>
      <w:r w:rsidR="008C3048" w:rsidRPr="00477C48">
        <w:rPr>
          <w:rFonts w:ascii="Be Vietnam Pro" w:hAnsi="Be Vietnam Pro"/>
          <w:b/>
          <w:bCs/>
          <w:sz w:val="24"/>
          <w:szCs w:val="24"/>
        </w:rPr>
        <w:br/>
      </w:r>
      <w:r w:rsidR="008C3048" w:rsidRPr="00477C48">
        <w:rPr>
          <w:rFonts w:ascii="Be Vietnam Pro" w:hAnsi="Be Vietnam Pro"/>
          <w:sz w:val="20"/>
          <w:szCs w:val="20"/>
        </w:rPr>
        <w:br/>
      </w:r>
      <w:r w:rsidR="008C3048" w:rsidRPr="00477C48">
        <w:rPr>
          <w:rFonts w:ascii="Be Vietnam Pro" w:hAnsi="Be Vietnam Pro"/>
          <w:b/>
          <w:bCs/>
        </w:rPr>
        <w:t>Brandenburg ist eine führende Destination im Wassertourismus. Sowohl der Bootstourismus als auch die Fahrgastschifffahrt haben als regionale Wirtschafsfaktoren weiter an Bedeutung zugenommen. Zu diesem Ergebnis kommt die Wassertourismusstudie 2024</w:t>
      </w:r>
      <w:r w:rsidR="002731DD">
        <w:rPr>
          <w:rFonts w:ascii="Be Vietnam Pro" w:hAnsi="Be Vietnam Pro"/>
          <w:b/>
          <w:bCs/>
        </w:rPr>
        <w:t xml:space="preserve">. </w:t>
      </w:r>
      <w:r w:rsidR="008C3048" w:rsidRPr="00477C48">
        <w:rPr>
          <w:rFonts w:ascii="Be Vietnam Pro" w:hAnsi="Be Vietnam Pro"/>
          <w:b/>
          <w:bCs/>
        </w:rPr>
        <w:br/>
      </w:r>
      <w:r w:rsidR="008C3048" w:rsidRPr="00477C48">
        <w:rPr>
          <w:rFonts w:ascii="Be Vietnam Pro" w:hAnsi="Be Vietnam Pro"/>
          <w:sz w:val="20"/>
          <w:szCs w:val="20"/>
        </w:rPr>
        <w:br/>
      </w:r>
      <w:r w:rsidR="008C3048" w:rsidRPr="00477C48">
        <w:rPr>
          <w:rFonts w:ascii="Be Vietnam Pro" w:hAnsi="Be Vietnam Pro"/>
        </w:rPr>
        <w:t xml:space="preserve">Die Studie wurde von den Industrie- und Handelskammern in Berlin-Brandenburg, der Wassertourismus Initiative Nordbrandenburg (WIN), dem ADAC Allgemeiner Deutscher Automobil-Club e.V. (Berlin-Brandenburg und München), dem Bundesverband Wassersportwirtschaft e.V. sowie dem Wirtschaftsverband Wassersport e.V. und der Messe BOOT &amp; FUN initiiert und in Auftrag gegeben. Zehn Jahre nach der ersten Untersuchung zur Bedeutung des Wassertourismus, haben PROJECT M GmbH und </w:t>
      </w:r>
      <w:proofErr w:type="spellStart"/>
      <w:r w:rsidR="008C3048" w:rsidRPr="00477C48">
        <w:rPr>
          <w:rFonts w:ascii="Be Vietnam Pro" w:hAnsi="Be Vietnam Pro"/>
        </w:rPr>
        <w:t>tourismuskontor</w:t>
      </w:r>
      <w:proofErr w:type="spellEnd"/>
      <w:r w:rsidR="008C3048" w:rsidRPr="00477C48">
        <w:rPr>
          <w:rFonts w:ascii="Be Vietnam Pro" w:hAnsi="Be Vietnam Pro"/>
        </w:rPr>
        <w:t xml:space="preserve"> das touristische Segment erneut untersucht. </w:t>
      </w:r>
      <w:r w:rsidR="008C3048" w:rsidRPr="00477C48">
        <w:rPr>
          <w:rFonts w:ascii="Be Vietnam Pro" w:hAnsi="Be Vietnam Pro"/>
        </w:rPr>
        <w:br/>
      </w:r>
      <w:r w:rsidR="008C3048" w:rsidRPr="00477C48">
        <w:rPr>
          <w:rFonts w:ascii="Be Vietnam Pro" w:hAnsi="Be Vietnam Pro"/>
        </w:rPr>
        <w:br/>
      </w:r>
      <w:r w:rsidR="008C3048" w:rsidRPr="00477C48">
        <w:rPr>
          <w:rFonts w:ascii="Be Vietnam Pro" w:hAnsi="Be Vietnam Pro"/>
          <w:b/>
          <w:bCs/>
        </w:rPr>
        <w:t>Die wichtigsten Fakten</w:t>
      </w:r>
      <w:r w:rsidR="00F03D8B">
        <w:rPr>
          <w:rFonts w:ascii="Be Vietnam Pro" w:hAnsi="Be Vietnam Pro"/>
          <w:b/>
          <w:bCs/>
        </w:rPr>
        <w:t xml:space="preserve"> im Überblick</w:t>
      </w:r>
      <w:r w:rsidR="008C3048" w:rsidRPr="00477C48">
        <w:rPr>
          <w:rFonts w:ascii="Be Vietnam Pro" w:hAnsi="Be Vietnam Pro"/>
          <w:b/>
          <w:bCs/>
        </w:rPr>
        <w:t>:</w:t>
      </w:r>
      <w:r w:rsidR="008C3048" w:rsidRPr="00477C48">
        <w:rPr>
          <w:rFonts w:ascii="Be Vietnam Pro" w:hAnsi="Be Vietnam Pro"/>
        </w:rPr>
        <w:t xml:space="preserve"> </w:t>
      </w:r>
      <w:r w:rsidR="008C3048" w:rsidRPr="00477C48">
        <w:rPr>
          <w:rFonts w:ascii="Be Vietnam Pro" w:hAnsi="Be Vietnam Pro"/>
        </w:rPr>
        <w:br/>
      </w:r>
    </w:p>
    <w:p w14:paraId="6DAA2542" w14:textId="1CD24950" w:rsidR="00477C48" w:rsidRPr="00477C48" w:rsidRDefault="008C3048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>Der Jahresbruttoumsatz ist von 200 Millionen Euro in 2014 auf gut 300 Millionen Euro in 2024 gestiegen.</w:t>
      </w:r>
      <w:r w:rsidR="0051109F" w:rsidRPr="00477C48">
        <w:rPr>
          <w:rFonts w:ascii="Be Vietnam Pro" w:hAnsi="Be Vietnam Pro"/>
        </w:rPr>
        <w:t xml:space="preserve"> </w:t>
      </w:r>
    </w:p>
    <w:p w14:paraId="550D8012" w14:textId="348B8D60" w:rsidR="00477C48" w:rsidRPr="00477C48" w:rsidRDefault="0051109F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>Es gibt 6</w:t>
      </w:r>
      <w:r w:rsidR="00F03D8B">
        <w:rPr>
          <w:rFonts w:ascii="Be Vietnam Pro" w:hAnsi="Be Vietnam Pro"/>
        </w:rPr>
        <w:t xml:space="preserve"> </w:t>
      </w:r>
      <w:r w:rsidRPr="00477C48">
        <w:rPr>
          <w:rFonts w:ascii="Be Vietnam Pro" w:hAnsi="Be Vietnam Pro"/>
        </w:rPr>
        <w:t xml:space="preserve">100 direkt Beschäftigte durch den Wassertourismus in der Region.  </w:t>
      </w:r>
    </w:p>
    <w:p w14:paraId="605CFBA1" w14:textId="77777777" w:rsidR="00477C48" w:rsidRPr="00477C48" w:rsidRDefault="008C3048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 xml:space="preserve">Nirgendwo sonst in Deutschland hat der Wassertourismus eine derart hohe regionalwirtschaftliche Bedeutung. </w:t>
      </w:r>
    </w:p>
    <w:p w14:paraId="1E52632F" w14:textId="77777777" w:rsidR="00477C48" w:rsidRPr="00477C48" w:rsidRDefault="008C3048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 xml:space="preserve">Die Gewässer sind ein zentraler Besuchsanlass für einen Urlaub auf und am Wasser in Brandenburg. </w:t>
      </w:r>
    </w:p>
    <w:p w14:paraId="14326143" w14:textId="77777777" w:rsidR="00477C48" w:rsidRPr="00477C48" w:rsidRDefault="008C3048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>Der Wassertourismus in Brandenburg befindet sich angebots- als auch nachfrageseitig auf einem hohen Niveau – Zukunftsaussichten werden branchenübergreifend positiv eingeschätzt.</w:t>
      </w:r>
      <w:r w:rsidR="0051109F" w:rsidRPr="00477C48">
        <w:rPr>
          <w:rFonts w:ascii="Be Vietnam Pro" w:hAnsi="Be Vietnam Pro"/>
        </w:rPr>
        <w:t xml:space="preserve"> </w:t>
      </w:r>
    </w:p>
    <w:p w14:paraId="3E857726" w14:textId="77777777" w:rsidR="00477C48" w:rsidRPr="00477C48" w:rsidRDefault="0051109F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>Die Branche wächst stabil und trägt maßgeblich zur regionalen Wertschöpfung bei.</w:t>
      </w:r>
      <w:r w:rsidRPr="00477C48">
        <w:rPr>
          <w:rFonts w:ascii="Be Vietnam Pro" w:hAnsi="Be Vietnam Pro"/>
        </w:rPr>
        <w:br/>
        <w:t>Die Anzahl der Anbieter (789) im Chartersegment hat sich mehr als verdoppelt.</w:t>
      </w:r>
    </w:p>
    <w:p w14:paraId="4BC6E5AE" w14:textId="7735E677" w:rsidR="00477C48" w:rsidRPr="00477C48" w:rsidRDefault="008C3048" w:rsidP="00477C48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477C48">
        <w:rPr>
          <w:rFonts w:ascii="Be Vietnam Pro" w:hAnsi="Be Vietnam Pro"/>
        </w:rPr>
        <w:t xml:space="preserve">Mehr als jedes dritte motorisierte Boot in der Vermietung ist mittlerweile ein Zweirumpfboot. Im Vergleich zu 2014 ist das in etwa eine </w:t>
      </w:r>
      <w:proofErr w:type="spellStart"/>
      <w:r w:rsidR="00F03D8B">
        <w:rPr>
          <w:rFonts w:ascii="Be Vietnam Pro" w:hAnsi="Be Vietnam Pro"/>
        </w:rPr>
        <w:t>V</w:t>
      </w:r>
      <w:r w:rsidRPr="00477C48">
        <w:rPr>
          <w:rFonts w:ascii="Be Vietnam Pro" w:hAnsi="Be Vietnam Pro"/>
        </w:rPr>
        <w:t>ersechsfachung</w:t>
      </w:r>
      <w:proofErr w:type="spellEnd"/>
      <w:r w:rsidRPr="00477C48">
        <w:rPr>
          <w:rFonts w:ascii="Be Vietnam Pro" w:hAnsi="Be Vietnam Pro"/>
        </w:rPr>
        <w:t xml:space="preserve">. </w:t>
      </w:r>
    </w:p>
    <w:p w14:paraId="6E1AD1E6" w14:textId="77777777" w:rsidR="00F03D8B" w:rsidRDefault="00061AF6" w:rsidP="009F0E97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F03D8B">
        <w:rPr>
          <w:rFonts w:ascii="Be Vietnam Pro" w:hAnsi="Be Vietnam Pro"/>
        </w:rPr>
        <w:t xml:space="preserve">Der Wassertourismus ist eine </w:t>
      </w:r>
      <w:r w:rsidR="008C3048" w:rsidRPr="00F03D8B">
        <w:rPr>
          <w:rFonts w:ascii="Be Vietnam Pro" w:hAnsi="Be Vietnam Pro"/>
        </w:rPr>
        <w:t xml:space="preserve">Branche mit hoher Bereitschaft für einen verstärkten </w:t>
      </w:r>
      <w:r w:rsidR="0051109F" w:rsidRPr="00F03D8B">
        <w:rPr>
          <w:rFonts w:ascii="Be Vietnam Pro" w:hAnsi="Be Vietnam Pro"/>
        </w:rPr>
        <w:t xml:space="preserve">  </w:t>
      </w:r>
      <w:r w:rsidR="008C3048" w:rsidRPr="00F03D8B">
        <w:rPr>
          <w:rFonts w:ascii="Be Vietnam Pro" w:hAnsi="Be Vietnam Pro"/>
        </w:rPr>
        <w:t xml:space="preserve">Einsatz von E-Mobilität, für „die Verkehrswende auf dem Wasser“. </w:t>
      </w:r>
    </w:p>
    <w:p w14:paraId="354723E0" w14:textId="5D9EA6D8" w:rsidR="00477C48" w:rsidRPr="00F03D8B" w:rsidRDefault="008C3048" w:rsidP="009F0E97">
      <w:pPr>
        <w:pStyle w:val="Listenabsatz"/>
        <w:numPr>
          <w:ilvl w:val="0"/>
          <w:numId w:val="1"/>
        </w:numPr>
        <w:rPr>
          <w:rFonts w:ascii="Be Vietnam Pro" w:hAnsi="Be Vietnam Pro"/>
        </w:rPr>
      </w:pPr>
      <w:r w:rsidRPr="00F03D8B">
        <w:rPr>
          <w:rFonts w:ascii="Be Vietnam Pro" w:hAnsi="Be Vietnam Pro"/>
        </w:rPr>
        <w:t>Lausitzer Seenland: Hier entsteht ein neues Wassertourismusrevier</w:t>
      </w:r>
      <w:r w:rsidR="007C673C" w:rsidRPr="00F03D8B">
        <w:rPr>
          <w:rFonts w:ascii="Be Vietnam Pro" w:hAnsi="Be Vietnam Pro"/>
        </w:rPr>
        <w:t>:</w:t>
      </w:r>
      <w:r w:rsidR="007C673C" w:rsidRPr="00F03D8B">
        <w:rPr>
          <w:rFonts w:ascii="Be Vietnam Pro" w:hAnsi="Be Vietnam Pro"/>
          <w:b/>
          <w:bCs/>
        </w:rPr>
        <w:t xml:space="preserve"> </w:t>
      </w:r>
      <w:r w:rsidRPr="00F03D8B">
        <w:rPr>
          <w:rFonts w:ascii="Be Vietnam Pro" w:hAnsi="Be Vietnam Pro"/>
        </w:rPr>
        <w:t xml:space="preserve">Ab 2026 </w:t>
      </w:r>
      <w:r w:rsidR="00F03D8B">
        <w:rPr>
          <w:rFonts w:ascii="Be Vietnam Pro" w:hAnsi="Be Vietnam Pro"/>
        </w:rPr>
        <w:t xml:space="preserve">ist die </w:t>
      </w:r>
      <w:r w:rsidRPr="00F03D8B">
        <w:rPr>
          <w:rFonts w:ascii="Be Vietnam Pro" w:hAnsi="Be Vietnam Pro"/>
        </w:rPr>
        <w:t>Befahrung von fünf durch Kanäle miteinander verbundene Seen möglich sein (</w:t>
      </w:r>
      <w:proofErr w:type="spellStart"/>
      <w:r w:rsidRPr="00F03D8B">
        <w:rPr>
          <w:rFonts w:ascii="Be Vietnam Pro" w:hAnsi="Be Vietnam Pro"/>
        </w:rPr>
        <w:t>Großräschener</w:t>
      </w:r>
      <w:proofErr w:type="spellEnd"/>
      <w:r w:rsidRPr="00F03D8B">
        <w:rPr>
          <w:rFonts w:ascii="Be Vietnam Pro" w:hAnsi="Be Vietnam Pro"/>
        </w:rPr>
        <w:t xml:space="preserve"> See, </w:t>
      </w:r>
      <w:proofErr w:type="spellStart"/>
      <w:r w:rsidRPr="00F03D8B">
        <w:rPr>
          <w:rFonts w:ascii="Be Vietnam Pro" w:hAnsi="Be Vietnam Pro"/>
        </w:rPr>
        <w:t>Sedlitzer</w:t>
      </w:r>
      <w:proofErr w:type="spellEnd"/>
      <w:r w:rsidRPr="00F03D8B">
        <w:rPr>
          <w:rFonts w:ascii="Be Vietnam Pro" w:hAnsi="Be Vietnam Pro"/>
        </w:rPr>
        <w:t xml:space="preserve"> See, Senftenberger See, </w:t>
      </w:r>
      <w:proofErr w:type="spellStart"/>
      <w:r w:rsidRPr="00F03D8B">
        <w:rPr>
          <w:rFonts w:ascii="Be Vietnam Pro" w:hAnsi="Be Vietnam Pro"/>
        </w:rPr>
        <w:lastRenderedPageBreak/>
        <w:t>Geierswalder</w:t>
      </w:r>
      <w:proofErr w:type="spellEnd"/>
      <w:r w:rsidRPr="00F03D8B">
        <w:rPr>
          <w:rFonts w:ascii="Be Vietnam Pro" w:hAnsi="Be Vietnam Pro"/>
        </w:rPr>
        <w:t xml:space="preserve"> See, </w:t>
      </w:r>
      <w:proofErr w:type="spellStart"/>
      <w:r w:rsidRPr="00F03D8B">
        <w:rPr>
          <w:rFonts w:ascii="Be Vietnam Pro" w:hAnsi="Be Vietnam Pro"/>
        </w:rPr>
        <w:t>Partwitzer</w:t>
      </w:r>
      <w:proofErr w:type="spellEnd"/>
      <w:r w:rsidRPr="00F03D8B">
        <w:rPr>
          <w:rFonts w:ascii="Be Vietnam Pro" w:hAnsi="Be Vietnam Pro"/>
        </w:rPr>
        <w:t xml:space="preserve"> See), teilweise mit </w:t>
      </w:r>
      <w:proofErr w:type="spellStart"/>
      <w:r w:rsidRPr="00F03D8B">
        <w:rPr>
          <w:rFonts w:ascii="Be Vietnam Pro" w:hAnsi="Be Vietnam Pro"/>
        </w:rPr>
        <w:t>Rundtourcharakter</w:t>
      </w:r>
      <w:proofErr w:type="spellEnd"/>
      <w:r w:rsidRPr="00F03D8B">
        <w:rPr>
          <w:rFonts w:ascii="Be Vietnam Pro" w:hAnsi="Be Vietnam Pro"/>
        </w:rPr>
        <w:t>.</w:t>
      </w:r>
      <w:r w:rsidR="00127999" w:rsidRPr="00F03D8B">
        <w:rPr>
          <w:rFonts w:ascii="Be Vietnam Pro" w:hAnsi="Be Vietnam Pro"/>
        </w:rPr>
        <w:br/>
      </w:r>
      <w:r w:rsidR="00127999" w:rsidRPr="00F03D8B">
        <w:rPr>
          <w:rFonts w:ascii="Be Vietnam Pro" w:hAnsi="Be Vietnam Pro"/>
        </w:rPr>
        <w:br/>
      </w:r>
    </w:p>
    <w:p w14:paraId="76E9163C" w14:textId="77777777" w:rsidR="00F03D8B" w:rsidRDefault="00477C48" w:rsidP="00477C48">
      <w:pPr>
        <w:rPr>
          <w:rFonts w:ascii="Be Vietnam Pro" w:hAnsi="Be Vietnam Pro"/>
          <w:b/>
          <w:bCs/>
        </w:rPr>
      </w:pPr>
      <w:r w:rsidRPr="00477C48">
        <w:rPr>
          <w:rFonts w:ascii="Be Vietnam Pro" w:hAnsi="Be Vietnam Pro"/>
          <w:b/>
          <w:bCs/>
        </w:rPr>
        <w:t xml:space="preserve">Wassertourismus in </w:t>
      </w:r>
      <w:r w:rsidR="00AE5D4E" w:rsidRPr="00477C48">
        <w:rPr>
          <w:rFonts w:ascii="Be Vietnam Pro" w:hAnsi="Be Vietnam Pro"/>
          <w:b/>
          <w:bCs/>
        </w:rPr>
        <w:t>Zahlen:</w:t>
      </w:r>
    </w:p>
    <w:p w14:paraId="6706F960" w14:textId="77777777" w:rsidR="00F03D8B" w:rsidRPr="00F03D8B" w:rsidRDefault="00F03D8B" w:rsidP="00F03D8B">
      <w:pPr>
        <w:rPr>
          <w:rFonts w:ascii="Be Vietnam Pro" w:hAnsi="Be Vietnam Pro"/>
        </w:rPr>
      </w:pPr>
      <w:r w:rsidRPr="00F03D8B">
        <w:rPr>
          <w:rFonts w:ascii="Be Vietnam Pro" w:hAnsi="Be Vietnam Pro"/>
          <w:b/>
          <w:bCs/>
        </w:rPr>
        <w:t>789</w:t>
      </w:r>
      <w:r w:rsidRPr="00F03D8B">
        <w:rPr>
          <w:rFonts w:ascii="Be Vietnam Pro" w:hAnsi="Be Vietnam Pro"/>
        </w:rPr>
        <w:t xml:space="preserve"> Anbieter – das sind: </w:t>
      </w:r>
    </w:p>
    <w:p w14:paraId="751BA265" w14:textId="5A503948" w:rsidR="00477C48" w:rsidRDefault="00127999" w:rsidP="00477C48">
      <w:pPr>
        <w:pStyle w:val="Listenabsatz"/>
        <w:numPr>
          <w:ilvl w:val="0"/>
          <w:numId w:val="3"/>
        </w:numPr>
        <w:rPr>
          <w:rFonts w:ascii="Be Vietnam Pro" w:hAnsi="Be Vietnam Pro"/>
        </w:rPr>
      </w:pPr>
      <w:r w:rsidRPr="00477C48">
        <w:rPr>
          <w:rFonts w:ascii="Be Vietnam Pro" w:hAnsi="Be Vietnam Pro"/>
          <w:b/>
          <w:bCs/>
        </w:rPr>
        <w:t>251</w:t>
      </w:r>
      <w:r w:rsidRPr="00477C48">
        <w:rPr>
          <w:rFonts w:ascii="Be Vietnam Pro" w:hAnsi="Be Vietnam Pro"/>
        </w:rPr>
        <w:t xml:space="preserve"> </w:t>
      </w:r>
      <w:r w:rsidRPr="00477C48">
        <w:rPr>
          <w:rFonts w:ascii="Be Vietnam Pro" w:hAnsi="Be Vietnam Pro"/>
          <w:b/>
          <w:bCs/>
        </w:rPr>
        <w:t>Charterbetriebe</w:t>
      </w:r>
      <w:r w:rsidR="008A69A4" w:rsidRPr="00477C48">
        <w:rPr>
          <w:rFonts w:ascii="Be Vietnam Pro" w:hAnsi="Be Vietnam Pro"/>
        </w:rPr>
        <w:t xml:space="preserve"> mit etwa </w:t>
      </w:r>
      <w:r w:rsidRPr="00477C48">
        <w:rPr>
          <w:rFonts w:ascii="Be Vietnam Pro" w:hAnsi="Be Vietnam Pro"/>
        </w:rPr>
        <w:t>2</w:t>
      </w:r>
      <w:r w:rsidR="00F03D8B">
        <w:rPr>
          <w:rFonts w:ascii="Be Vietnam Pro" w:hAnsi="Be Vietnam Pro"/>
        </w:rPr>
        <w:t xml:space="preserve"> </w:t>
      </w:r>
      <w:r w:rsidRPr="00477C48">
        <w:rPr>
          <w:rFonts w:ascii="Be Vietnam Pro" w:hAnsi="Be Vietnam Pro"/>
        </w:rPr>
        <w:t xml:space="preserve">700 </w:t>
      </w:r>
      <w:proofErr w:type="spellStart"/>
      <w:r w:rsidRPr="00477C48">
        <w:rPr>
          <w:rFonts w:ascii="Be Vietnam Pro" w:hAnsi="Be Vietnam Pro"/>
        </w:rPr>
        <w:t>Vermietboote</w:t>
      </w:r>
      <w:r w:rsidR="008A69A4" w:rsidRPr="00477C48">
        <w:rPr>
          <w:rFonts w:ascii="Be Vietnam Pro" w:hAnsi="Be Vietnam Pro"/>
        </w:rPr>
        <w:t>n</w:t>
      </w:r>
      <w:proofErr w:type="spellEnd"/>
    </w:p>
    <w:p w14:paraId="33930144" w14:textId="23822CF8" w:rsidR="00477C48" w:rsidRDefault="00127999" w:rsidP="00477C48">
      <w:pPr>
        <w:pStyle w:val="Listenabsatz"/>
        <w:numPr>
          <w:ilvl w:val="0"/>
          <w:numId w:val="3"/>
        </w:numPr>
        <w:rPr>
          <w:rFonts w:ascii="Be Vietnam Pro" w:hAnsi="Be Vietnam Pro"/>
        </w:rPr>
      </w:pPr>
      <w:r w:rsidRPr="00477C48">
        <w:rPr>
          <w:rFonts w:ascii="Be Vietnam Pro" w:hAnsi="Be Vietnam Pro"/>
          <w:b/>
          <w:bCs/>
        </w:rPr>
        <w:t>141 Kanuverleiher</w:t>
      </w:r>
      <w:r w:rsidRPr="00477C48">
        <w:rPr>
          <w:rFonts w:ascii="Be Vietnam Pro" w:hAnsi="Be Vietnam Pro"/>
        </w:rPr>
        <w:t xml:space="preserve"> mit etwa 4</w:t>
      </w:r>
      <w:r w:rsidR="00F03D8B">
        <w:rPr>
          <w:rFonts w:ascii="Be Vietnam Pro" w:hAnsi="Be Vietnam Pro"/>
        </w:rPr>
        <w:t xml:space="preserve"> </w:t>
      </w:r>
      <w:r w:rsidRPr="00477C48">
        <w:rPr>
          <w:rFonts w:ascii="Be Vietnam Pro" w:hAnsi="Be Vietnam Pro"/>
        </w:rPr>
        <w:t>400 Booten</w:t>
      </w:r>
    </w:p>
    <w:p w14:paraId="62359649" w14:textId="77777777" w:rsidR="00477C48" w:rsidRDefault="00127999" w:rsidP="00477C48">
      <w:pPr>
        <w:pStyle w:val="Listenabsatz"/>
        <w:numPr>
          <w:ilvl w:val="0"/>
          <w:numId w:val="3"/>
        </w:numPr>
        <w:rPr>
          <w:rFonts w:ascii="Be Vietnam Pro" w:hAnsi="Be Vietnam Pro"/>
        </w:rPr>
      </w:pPr>
      <w:r w:rsidRPr="00477C48">
        <w:rPr>
          <w:rFonts w:ascii="Be Vietnam Pro" w:hAnsi="Be Vietnam Pro"/>
          <w:b/>
          <w:bCs/>
        </w:rPr>
        <w:t>72 Fahrgast- und Ausflugsschiff</w:t>
      </w:r>
      <w:r w:rsidR="00AE5D4E" w:rsidRPr="00477C48">
        <w:rPr>
          <w:rFonts w:ascii="Be Vietnam Pro" w:hAnsi="Be Vietnam Pro"/>
          <w:b/>
          <w:bCs/>
        </w:rPr>
        <w:t>f</w:t>
      </w:r>
      <w:r w:rsidRPr="00477C48">
        <w:rPr>
          <w:rFonts w:ascii="Be Vietnam Pro" w:hAnsi="Be Vietnam Pro"/>
          <w:b/>
          <w:bCs/>
        </w:rPr>
        <w:t>ahrtsbetriebe</w:t>
      </w:r>
      <w:r w:rsidRPr="00477C48">
        <w:rPr>
          <w:rFonts w:ascii="Be Vietnam Pro" w:hAnsi="Be Vietnam Pro"/>
        </w:rPr>
        <w:t xml:space="preserve"> mit in</w:t>
      </w:r>
      <w:r w:rsidR="00D23BB9" w:rsidRPr="00477C48">
        <w:rPr>
          <w:rFonts w:ascii="Be Vietnam Pro" w:hAnsi="Be Vietnam Pro"/>
        </w:rPr>
        <w:t>s</w:t>
      </w:r>
      <w:r w:rsidRPr="00477C48">
        <w:rPr>
          <w:rFonts w:ascii="Be Vietnam Pro" w:hAnsi="Be Vietnam Pro"/>
        </w:rPr>
        <w:t>gesamt etwa 160 Schiffen</w:t>
      </w:r>
    </w:p>
    <w:p w14:paraId="6B9349C1" w14:textId="77777777" w:rsidR="00F03D8B" w:rsidRDefault="00D23BB9" w:rsidP="00477C48">
      <w:pPr>
        <w:pStyle w:val="Listenabsatz"/>
        <w:numPr>
          <w:ilvl w:val="0"/>
          <w:numId w:val="3"/>
        </w:numPr>
        <w:rPr>
          <w:rFonts w:ascii="Be Vietnam Pro" w:hAnsi="Be Vietnam Pro"/>
        </w:rPr>
      </w:pPr>
      <w:r w:rsidRPr="00477C48">
        <w:rPr>
          <w:rFonts w:ascii="Be Vietnam Pro" w:hAnsi="Be Vietnam Pro"/>
          <w:b/>
          <w:bCs/>
        </w:rPr>
        <w:t>322</w:t>
      </w:r>
      <w:r w:rsidRPr="00477C48">
        <w:rPr>
          <w:rFonts w:ascii="Be Vietnam Pro" w:hAnsi="Be Vietnam Pro"/>
        </w:rPr>
        <w:t xml:space="preserve"> gewerbliche </w:t>
      </w:r>
      <w:r w:rsidRPr="00477C48">
        <w:rPr>
          <w:rFonts w:ascii="Be Vietnam Pro" w:hAnsi="Be Vietnam Pro"/>
          <w:b/>
          <w:bCs/>
        </w:rPr>
        <w:t>Sportboothäfen und Vereinsanlagen</w:t>
      </w:r>
      <w:r w:rsidRPr="00477C48">
        <w:rPr>
          <w:rFonts w:ascii="Be Vietnam Pro" w:hAnsi="Be Vietnam Pro"/>
        </w:rPr>
        <w:t xml:space="preserve"> mit touristischer Ausrichtung mit etwa 21</w:t>
      </w:r>
      <w:r w:rsidR="00F03D8B">
        <w:rPr>
          <w:rFonts w:ascii="Be Vietnam Pro" w:hAnsi="Be Vietnam Pro"/>
        </w:rPr>
        <w:t xml:space="preserve"> </w:t>
      </w:r>
      <w:r w:rsidRPr="00477C48">
        <w:rPr>
          <w:rFonts w:ascii="Be Vietnam Pro" w:hAnsi="Be Vietnam Pro"/>
        </w:rPr>
        <w:t>000 Liegeplätzen</w:t>
      </w:r>
      <w:r w:rsidRPr="00477C48">
        <w:rPr>
          <w:rFonts w:ascii="Be Vietnam Pro" w:hAnsi="Be Vietnam Pro"/>
        </w:rPr>
        <w:br/>
      </w:r>
    </w:p>
    <w:p w14:paraId="5927CD50" w14:textId="77777777" w:rsidR="00F03D8B" w:rsidRPr="00F03D8B" w:rsidRDefault="00F03D8B" w:rsidP="00F03D8B">
      <w:pPr>
        <w:pStyle w:val="Listenabsatz"/>
        <w:rPr>
          <w:rFonts w:ascii="Be Vietnam Pro" w:hAnsi="Be Vietnam Pro"/>
        </w:rPr>
      </w:pPr>
    </w:p>
    <w:p w14:paraId="07AA891C" w14:textId="0C81585E" w:rsidR="00972866" w:rsidRPr="00F03D8B" w:rsidRDefault="008C3048" w:rsidP="00F03D8B">
      <w:pPr>
        <w:rPr>
          <w:rFonts w:ascii="Be Vietnam Pro" w:hAnsi="Be Vietnam Pro"/>
        </w:rPr>
      </w:pPr>
      <w:r w:rsidRPr="00F03D8B">
        <w:rPr>
          <w:rFonts w:ascii="Be Vietnam Pro" w:hAnsi="Be Vietnam Pro"/>
          <w:b/>
          <w:bCs/>
        </w:rPr>
        <w:t>Weitere Informationen und die komplette Studie gibt es unter:</w:t>
      </w:r>
      <w:r w:rsidRPr="00F03D8B">
        <w:rPr>
          <w:rFonts w:ascii="Be Vietnam Pro" w:hAnsi="Be Vietnam Pro"/>
          <w:b/>
          <w:bCs/>
        </w:rPr>
        <w:br/>
      </w:r>
      <w:hyperlink r:id="rId8" w:history="1">
        <w:r w:rsidRPr="00F03D8B">
          <w:rPr>
            <w:rStyle w:val="Hyperlink"/>
            <w:rFonts w:ascii="Be Vietnam Pro" w:hAnsi="Be Vietnam Pro"/>
          </w:rPr>
          <w:t>https://tourismusnetzwerk-brandenburg.de/themen/tourismusarten/wassertourismus/studie-wirtschaftliche-effekte-im-wassertourismus-erschienen</w:t>
        </w:r>
      </w:hyperlink>
    </w:p>
    <w:sectPr w:rsidR="00972866" w:rsidRPr="00F03D8B">
      <w:headerReference w:type="default" r:id="rId9"/>
      <w:footerReference w:type="default" r:id="rId10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8474" w14:textId="77777777" w:rsidR="005A20FB" w:rsidRDefault="005A20FB">
      <w:pPr>
        <w:spacing w:after="0" w:line="240" w:lineRule="auto"/>
      </w:pPr>
      <w:r>
        <w:separator/>
      </w:r>
    </w:p>
  </w:endnote>
  <w:endnote w:type="continuationSeparator" w:id="0">
    <w:p w14:paraId="2E30D08B" w14:textId="77777777" w:rsidR="005A20FB" w:rsidRDefault="005A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73DAB450" w:rsidR="00B11768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F03D8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1364" w14:textId="77777777" w:rsidR="005A20FB" w:rsidRDefault="005A20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9FBDF0" w14:textId="77777777" w:rsidR="005A20FB" w:rsidRDefault="005A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081"/>
    <w:multiLevelType w:val="hybridMultilevel"/>
    <w:tmpl w:val="24E8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E55"/>
    <w:multiLevelType w:val="hybridMultilevel"/>
    <w:tmpl w:val="E5B057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87F24"/>
    <w:multiLevelType w:val="hybridMultilevel"/>
    <w:tmpl w:val="608C7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14556">
    <w:abstractNumId w:val="2"/>
  </w:num>
  <w:num w:numId="2" w16cid:durableId="1471051684">
    <w:abstractNumId w:val="1"/>
  </w:num>
  <w:num w:numId="3" w16cid:durableId="153553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61AF6"/>
    <w:rsid w:val="0006607E"/>
    <w:rsid w:val="00083F8F"/>
    <w:rsid w:val="00085E8D"/>
    <w:rsid w:val="00085EAE"/>
    <w:rsid w:val="000A07C8"/>
    <w:rsid w:val="000A5770"/>
    <w:rsid w:val="000B48E5"/>
    <w:rsid w:val="000C028C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999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956A9"/>
    <w:rsid w:val="001A228B"/>
    <w:rsid w:val="001A63E6"/>
    <w:rsid w:val="001B38E6"/>
    <w:rsid w:val="001C238D"/>
    <w:rsid w:val="001C4763"/>
    <w:rsid w:val="001E064F"/>
    <w:rsid w:val="001E118E"/>
    <w:rsid w:val="00200208"/>
    <w:rsid w:val="002019F0"/>
    <w:rsid w:val="002157C9"/>
    <w:rsid w:val="002270FB"/>
    <w:rsid w:val="0022791E"/>
    <w:rsid w:val="002421A3"/>
    <w:rsid w:val="00243FD9"/>
    <w:rsid w:val="0024560E"/>
    <w:rsid w:val="00247245"/>
    <w:rsid w:val="00252B25"/>
    <w:rsid w:val="002579FF"/>
    <w:rsid w:val="00263A89"/>
    <w:rsid w:val="0026515C"/>
    <w:rsid w:val="00270880"/>
    <w:rsid w:val="002731DD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4AD6"/>
    <w:rsid w:val="003A506F"/>
    <w:rsid w:val="003A79D8"/>
    <w:rsid w:val="003D005D"/>
    <w:rsid w:val="003D64AB"/>
    <w:rsid w:val="003E125B"/>
    <w:rsid w:val="003E2ABB"/>
    <w:rsid w:val="003E6F88"/>
    <w:rsid w:val="003F05B9"/>
    <w:rsid w:val="003F5BF2"/>
    <w:rsid w:val="003F7426"/>
    <w:rsid w:val="003F7FCB"/>
    <w:rsid w:val="0040454A"/>
    <w:rsid w:val="00413428"/>
    <w:rsid w:val="00414EB4"/>
    <w:rsid w:val="004152A9"/>
    <w:rsid w:val="00434DB7"/>
    <w:rsid w:val="0044279E"/>
    <w:rsid w:val="0044626F"/>
    <w:rsid w:val="004462CF"/>
    <w:rsid w:val="004467CD"/>
    <w:rsid w:val="00452504"/>
    <w:rsid w:val="00460F7E"/>
    <w:rsid w:val="0046468F"/>
    <w:rsid w:val="00477C48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4F5602"/>
    <w:rsid w:val="0051109F"/>
    <w:rsid w:val="005133F4"/>
    <w:rsid w:val="005270FA"/>
    <w:rsid w:val="0053635D"/>
    <w:rsid w:val="005412C6"/>
    <w:rsid w:val="005449EB"/>
    <w:rsid w:val="0055190B"/>
    <w:rsid w:val="00557B0B"/>
    <w:rsid w:val="00562E57"/>
    <w:rsid w:val="00580254"/>
    <w:rsid w:val="00586F3C"/>
    <w:rsid w:val="00592CE3"/>
    <w:rsid w:val="005A20FB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1BF3"/>
    <w:rsid w:val="00614027"/>
    <w:rsid w:val="00615FC9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114"/>
    <w:rsid w:val="006B3495"/>
    <w:rsid w:val="006B3A9E"/>
    <w:rsid w:val="006C1A23"/>
    <w:rsid w:val="006D14C1"/>
    <w:rsid w:val="006D33B9"/>
    <w:rsid w:val="006D33DC"/>
    <w:rsid w:val="006D618F"/>
    <w:rsid w:val="006E4970"/>
    <w:rsid w:val="006F382D"/>
    <w:rsid w:val="00702074"/>
    <w:rsid w:val="00721B55"/>
    <w:rsid w:val="00721DDA"/>
    <w:rsid w:val="00723629"/>
    <w:rsid w:val="007258DC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C673C"/>
    <w:rsid w:val="007D4FFC"/>
    <w:rsid w:val="007D72F2"/>
    <w:rsid w:val="00815841"/>
    <w:rsid w:val="008158CD"/>
    <w:rsid w:val="008174E6"/>
    <w:rsid w:val="00830099"/>
    <w:rsid w:val="00832422"/>
    <w:rsid w:val="00835641"/>
    <w:rsid w:val="00844693"/>
    <w:rsid w:val="00853CBD"/>
    <w:rsid w:val="008609B7"/>
    <w:rsid w:val="008716D2"/>
    <w:rsid w:val="008806B6"/>
    <w:rsid w:val="008867A7"/>
    <w:rsid w:val="00887B67"/>
    <w:rsid w:val="008A0A8E"/>
    <w:rsid w:val="008A0EAD"/>
    <w:rsid w:val="008A69A4"/>
    <w:rsid w:val="008A7845"/>
    <w:rsid w:val="008C3048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008F"/>
    <w:rsid w:val="009F30F2"/>
    <w:rsid w:val="00A06C54"/>
    <w:rsid w:val="00A13F5C"/>
    <w:rsid w:val="00A16B66"/>
    <w:rsid w:val="00A231AD"/>
    <w:rsid w:val="00A31393"/>
    <w:rsid w:val="00A323E1"/>
    <w:rsid w:val="00A32D21"/>
    <w:rsid w:val="00A37890"/>
    <w:rsid w:val="00A37F69"/>
    <w:rsid w:val="00A453BE"/>
    <w:rsid w:val="00A45886"/>
    <w:rsid w:val="00A60E0D"/>
    <w:rsid w:val="00A71D8C"/>
    <w:rsid w:val="00A72A72"/>
    <w:rsid w:val="00A74B6B"/>
    <w:rsid w:val="00A83A6E"/>
    <w:rsid w:val="00A93D64"/>
    <w:rsid w:val="00AB1820"/>
    <w:rsid w:val="00AB54C7"/>
    <w:rsid w:val="00AC1013"/>
    <w:rsid w:val="00AC4425"/>
    <w:rsid w:val="00AD7228"/>
    <w:rsid w:val="00AE5D4E"/>
    <w:rsid w:val="00B02E2C"/>
    <w:rsid w:val="00B062A6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7371A"/>
    <w:rsid w:val="00B8783D"/>
    <w:rsid w:val="00BC36B4"/>
    <w:rsid w:val="00BC5CD6"/>
    <w:rsid w:val="00BD18B5"/>
    <w:rsid w:val="00BD50C2"/>
    <w:rsid w:val="00BE1C33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5B0F"/>
    <w:rsid w:val="00CA72AB"/>
    <w:rsid w:val="00CA7D89"/>
    <w:rsid w:val="00CB7553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275A"/>
    <w:rsid w:val="00D23BB9"/>
    <w:rsid w:val="00D27F91"/>
    <w:rsid w:val="00D41985"/>
    <w:rsid w:val="00D45E1B"/>
    <w:rsid w:val="00D470C5"/>
    <w:rsid w:val="00D527DD"/>
    <w:rsid w:val="00D52B62"/>
    <w:rsid w:val="00D562A7"/>
    <w:rsid w:val="00D56F92"/>
    <w:rsid w:val="00D61AE3"/>
    <w:rsid w:val="00D63055"/>
    <w:rsid w:val="00D72986"/>
    <w:rsid w:val="00D81C19"/>
    <w:rsid w:val="00D92218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61D"/>
    <w:rsid w:val="00EB5D8D"/>
    <w:rsid w:val="00EB6130"/>
    <w:rsid w:val="00EB7F61"/>
    <w:rsid w:val="00ED53D7"/>
    <w:rsid w:val="00EE04E3"/>
    <w:rsid w:val="00F03D8B"/>
    <w:rsid w:val="00F30671"/>
    <w:rsid w:val="00F31222"/>
    <w:rsid w:val="00F32001"/>
    <w:rsid w:val="00F40696"/>
    <w:rsid w:val="00F41EE9"/>
    <w:rsid w:val="00F545DF"/>
    <w:rsid w:val="00F656F0"/>
    <w:rsid w:val="00F666A2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0F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7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2885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91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usnetzwerk-brandenburg.de/themen/tourismusarten/wassertourismus/studie-wirtschaftliche-effekte-im-wassertourismus-erschie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7D9D-796C-4B39-8270-07569786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</cp:revision>
  <cp:lastPrinted>2023-06-02T09:50:00Z</cp:lastPrinted>
  <dcterms:created xsi:type="dcterms:W3CDTF">2025-03-03T09:03:00Z</dcterms:created>
  <dcterms:modified xsi:type="dcterms:W3CDTF">2025-03-03T09:03:00Z</dcterms:modified>
</cp:coreProperties>
</file>