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6" w:rsidRDefault="008C7156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C7156" w:rsidRDefault="008C7156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C7156" w:rsidRDefault="008C7156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C7156" w:rsidRDefault="008C7156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791637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Legacy Concept debuterar i Los Angeles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791637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Legacy firar 25 år som modell nästa år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Detta jubileum firar Subaru med att visa en förstudie till nästa generation. Konceptet premiärvisas på Los Angeles Auto Show, som slår upp portarna 20 april.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C7156" w:rsidRDefault="0079163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I samband med smygtitten på nya Subaru WRX avslöjades att det även skulle visas ett designkoncept i Subarus monter. Nu är det officiellt bekräftat att det rör sig om en försmak av nästa generation Legacy. Den 4-dörrade sedanen har tydliga drag av konceptet VIZIV, som visades i Genève.</w:t>
      </w:r>
    </w:p>
    <w:p w:rsidR="00791637" w:rsidRDefault="0079163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EA0335" w:rsidRDefault="0079163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Samma dag som premiären i Los Angeles öppnar även Bilsalongen i Tokyo. Huvudnumret i Subarus </w:t>
      </w:r>
      <w:r w:rsidR="008C7156">
        <w:rPr>
          <w:rFonts w:ascii="Eurostile" w:eastAsia="Calibri" w:hAnsi="Eurostile" w:cs="Times New Roman"/>
          <w:szCs w:val="22"/>
        </w:rPr>
        <w:t xml:space="preserve">Tokyo-monter </w:t>
      </w:r>
      <w:r>
        <w:rPr>
          <w:rFonts w:ascii="Eurostile" w:eastAsia="Calibri" w:hAnsi="Eurostile" w:cs="Times New Roman"/>
          <w:szCs w:val="22"/>
        </w:rPr>
        <w:t>är LEVORG</w:t>
      </w:r>
      <w:r w:rsidR="008C7156">
        <w:rPr>
          <w:rFonts w:ascii="Eurostile" w:eastAsia="Calibri" w:hAnsi="Eurostile" w:cs="Times New Roman"/>
          <w:szCs w:val="22"/>
        </w:rPr>
        <w:t xml:space="preserve"> – en Sports Tourer som är i det närmaste produktionsklar och ska lanseras i Japan redan till våren.</w:t>
      </w: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Mer information om Legacy Concept finns i den amerikanska pressreleasen, som du hittar under ”relaterat/dokument” nedan.</w:t>
      </w:r>
      <w:bookmarkStart w:id="0" w:name="_GoBack"/>
      <w:bookmarkEnd w:id="0"/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 wp14:anchorId="181E5632" wp14:editId="5EDD7508">
            <wp:extent cx="2428133" cy="129606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cy Concept rear on high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8579" cy="129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Times New Roman"/>
          <w:szCs w:val="22"/>
        </w:rPr>
        <w:t xml:space="preserve">  </w:t>
      </w: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2242268" cy="1157447"/>
            <wp:effectExtent l="0" t="0" r="5715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cy Concept front on high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4833" cy="116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8C7156" w:rsidRDefault="008C715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E0A61" w:rsidRPr="00EA0335" w:rsidRDefault="00EE0A61" w:rsidP="00EA0335">
      <w:pPr>
        <w:jc w:val="center"/>
        <w:rPr>
          <w:rFonts w:ascii="Eurostile" w:eastAsia="Calibri" w:hAnsi="Eurostile" w:cs="Helv"/>
          <w:lang w:eastAsia="sv-SE"/>
        </w:rPr>
      </w:pPr>
    </w:p>
    <w:sectPr w:rsidR="00EE0A61" w:rsidRPr="00EA0335" w:rsidSect="00D11E68">
      <w:headerReference w:type="default" r:id="rId9"/>
      <w:footerReference w:type="default" r:id="rId10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r w:rsidR="008C7156">
                            <w:t>-11-15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r w:rsidR="008C7156">
                      <w:t>-11-15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1637"/>
    <w:rsid w:val="007978EC"/>
    <w:rsid w:val="007A36C2"/>
    <w:rsid w:val="008836F4"/>
    <w:rsid w:val="008A45EC"/>
    <w:rsid w:val="008C7156"/>
    <w:rsid w:val="008E1C6A"/>
    <w:rsid w:val="00941E63"/>
    <w:rsid w:val="009B5C6E"/>
    <w:rsid w:val="009C7E10"/>
    <w:rsid w:val="009D56A4"/>
    <w:rsid w:val="00A07556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2507B"/>
    <w:rsid w:val="00F47E5C"/>
    <w:rsid w:val="00F72371"/>
    <w:rsid w:val="00FB23FC"/>
    <w:rsid w:val="00FB7ABA"/>
    <w:rsid w:val="00FD5F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2010-11-15T12:35:00Z</cp:lastPrinted>
  <dcterms:created xsi:type="dcterms:W3CDTF">2013-11-14T20:26:00Z</dcterms:created>
  <dcterms:modified xsi:type="dcterms:W3CDTF">2013-11-15T06:56:00Z</dcterms:modified>
</cp:coreProperties>
</file>