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91" w:rsidRPr="00D85929" w:rsidRDefault="00D85929" w:rsidP="002F4A9E">
      <w:pPr>
        <w:spacing w:before="100" w:beforeAutospacing="1" w:after="100" w:afterAutospacing="1" w:line="276" w:lineRule="auto"/>
        <w:outlineLvl w:val="1"/>
        <w:rPr>
          <w:rFonts w:eastAsia="Times New Roman" w:cs="Arial"/>
          <w:b/>
          <w:bCs/>
          <w:color w:val="262626" w:themeColor="text1" w:themeTint="D9"/>
          <w:sz w:val="40"/>
          <w:szCs w:val="28"/>
          <w:lang w:eastAsia="sv-SE"/>
        </w:rPr>
      </w:pPr>
      <w:r w:rsidRPr="00D85929">
        <w:rPr>
          <w:noProof/>
          <w:color w:val="262626" w:themeColor="text1" w:themeTint="D9"/>
          <w:sz w:val="32"/>
          <w:lang w:eastAsia="sv-SE"/>
        </w:rPr>
        <w:drawing>
          <wp:anchor distT="0" distB="0" distL="114300" distR="114300" simplePos="0" relativeHeight="251659264" behindDoc="0" locked="0" layoutInCell="1" allowOverlap="1" wp14:anchorId="2641352C" wp14:editId="2EA18D70">
            <wp:simplePos x="0" y="0"/>
            <wp:positionH relativeFrom="margin">
              <wp:posOffset>3700780</wp:posOffset>
            </wp:positionH>
            <wp:positionV relativeFrom="margin">
              <wp:posOffset>-180484</wp:posOffset>
            </wp:positionV>
            <wp:extent cx="2162175" cy="619125"/>
            <wp:effectExtent l="0" t="0" r="9525" b="9525"/>
            <wp:wrapNone/>
            <wp:docPr id="5" name="Bildobjekt 5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klarsamfund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b/>
          <w:bCs/>
          <w:color w:val="262626" w:themeColor="text1" w:themeTint="D9"/>
          <w:sz w:val="40"/>
          <w:szCs w:val="28"/>
          <w:lang w:eastAsia="sv-SE"/>
        </w:rPr>
        <w:br/>
      </w:r>
      <w:r>
        <w:rPr>
          <w:rFonts w:eastAsia="Times New Roman" w:cs="Arial"/>
          <w:b/>
          <w:bCs/>
          <w:color w:val="262626" w:themeColor="text1" w:themeTint="D9"/>
          <w:sz w:val="40"/>
          <w:szCs w:val="28"/>
          <w:lang w:eastAsia="sv-SE"/>
        </w:rPr>
        <w:br/>
      </w:r>
      <w:r w:rsidR="0067064D">
        <w:rPr>
          <w:rFonts w:eastAsia="Times New Roman" w:cs="Arial"/>
          <w:b/>
          <w:bCs/>
          <w:color w:val="262626" w:themeColor="text1" w:themeTint="D9"/>
          <w:sz w:val="40"/>
          <w:szCs w:val="28"/>
          <w:lang w:eastAsia="sv-SE"/>
        </w:rPr>
        <w:t xml:space="preserve">Förstagångsköpare saknar </w:t>
      </w:r>
      <w:r w:rsidR="002E6905">
        <w:rPr>
          <w:rFonts w:eastAsia="Times New Roman" w:cs="Arial"/>
          <w:b/>
          <w:bCs/>
          <w:color w:val="262626" w:themeColor="text1" w:themeTint="D9"/>
          <w:sz w:val="40"/>
          <w:szCs w:val="28"/>
          <w:lang w:eastAsia="sv-SE"/>
        </w:rPr>
        <w:t>sparande</w:t>
      </w:r>
      <w:r w:rsidR="0067064D">
        <w:rPr>
          <w:rFonts w:eastAsia="Times New Roman" w:cs="Arial"/>
          <w:b/>
          <w:bCs/>
          <w:color w:val="262626" w:themeColor="text1" w:themeTint="D9"/>
          <w:sz w:val="40"/>
          <w:szCs w:val="28"/>
          <w:lang w:eastAsia="sv-SE"/>
        </w:rPr>
        <w:t xml:space="preserve"> – klarar inte första bostadsköpet på egen hand</w:t>
      </w:r>
    </w:p>
    <w:p w:rsidR="00D64B80" w:rsidRPr="00786B70" w:rsidRDefault="00D64B80" w:rsidP="00D64B80">
      <w:pPr>
        <w:autoSpaceDE w:val="0"/>
        <w:autoSpaceDN w:val="0"/>
        <w:adjustRightInd w:val="0"/>
        <w:spacing w:after="0" w:line="240" w:lineRule="auto"/>
        <w:rPr>
          <w:rFonts w:ascii="TradeGothicLTStd" w:hAnsi="TradeGothicLTStd" w:cs="TradeGothicLTStd"/>
          <w:color w:val="404040" w:themeColor="text1" w:themeTint="BF"/>
          <w:sz w:val="17"/>
          <w:szCs w:val="17"/>
        </w:rPr>
      </w:pPr>
      <w:r w:rsidRPr="00786B70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>Pressmeddelande den 30 juni</w:t>
      </w:r>
      <w:r w:rsidR="00FE5DA5" w:rsidRPr="00786B70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t xml:space="preserve"> 2016</w:t>
      </w:r>
      <w:r w:rsidR="003111B4" w:rsidRPr="00786B70">
        <w:rPr>
          <w:rFonts w:ascii="Arial" w:eastAsia="Times New Roman" w:hAnsi="Arial" w:cs="Arial"/>
          <w:color w:val="404040" w:themeColor="text1" w:themeTint="BF"/>
          <w:sz w:val="20"/>
          <w:szCs w:val="24"/>
          <w:lang w:eastAsia="sv-SE"/>
        </w:rPr>
        <w:br/>
      </w:r>
    </w:p>
    <w:p w:rsidR="00D64B80" w:rsidRPr="00786B70" w:rsidRDefault="00D64B80" w:rsidP="00D64B80">
      <w:pPr>
        <w:autoSpaceDE w:val="0"/>
        <w:autoSpaceDN w:val="0"/>
        <w:adjustRightInd w:val="0"/>
        <w:spacing w:after="0" w:line="240" w:lineRule="auto"/>
        <w:rPr>
          <w:rFonts w:ascii="TradeGothicLTStd" w:hAnsi="TradeGothicLTStd" w:cs="TradeGothicLTStd"/>
          <w:color w:val="404040" w:themeColor="text1" w:themeTint="BF"/>
          <w:sz w:val="17"/>
          <w:szCs w:val="17"/>
        </w:rPr>
      </w:pPr>
    </w:p>
    <w:p w:rsidR="00D64B80" w:rsidRPr="00786B70" w:rsidRDefault="00D64B80" w:rsidP="00786B7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>I en medlemsundersök</w:t>
      </w:r>
      <w:r w:rsidR="00F20646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ning från Mäklarsamfundet </w:t>
      </w:r>
      <w:r w:rsidR="002E6905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som presenteras idag </w:t>
      </w:r>
      <w:r w:rsidR="00F20646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>uppger</w:t>
      </w:r>
      <w:r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73 procent av de tillfrågade fastighetsmäklarna att förstagångsköparen får hjälp av någon utöver banken med finansieringen av </w:t>
      </w:r>
      <w:r w:rsidR="00F20646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den första </w:t>
      </w:r>
      <w:r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>bostaden. Föräldrar är de vanligaste medfinansiärerna, det är inte ovanligt att de både lånar ut pengar till kontantinsatsen och</w:t>
      </w:r>
      <w:r w:rsidR="00F20646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>står som delägare</w:t>
      </w:r>
      <w:r w:rsidR="00F20646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eller medlåntagare</w:t>
      </w:r>
      <w:r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till bostaden.</w:t>
      </w:r>
    </w:p>
    <w:p w:rsidR="00D64B80" w:rsidRPr="00786B70" w:rsidRDefault="00D64B80" w:rsidP="00786B7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F20646" w:rsidRPr="00786B70" w:rsidRDefault="00424108" w:rsidP="00786B70">
      <w:pPr>
        <w:spacing w:line="276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Undersökningen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visar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att 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litet utbud och 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>media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>s rapportering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är 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de faktorer som påverkar bostadsmarknaden mest just nu. 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>71 procent av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de tillfrågade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fastighetsmäklarna som förmedlar</w:t>
      </w:r>
      <w:r w:rsidR="00A17AF8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="00F20646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småhus 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svarade 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>att ett litet utbud har störst påverkan. Andelen har minskat</w:t>
      </w:r>
      <w:r w:rsidR="00A17AF8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>med 13 procentenheter jämfört med förra undersökningen som gjordes i</w:t>
      </w:r>
      <w:r w:rsidR="00A17AF8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>december 2015. 64 procent av mäklarna bedömer att media har stor påverkan</w:t>
      </w:r>
      <w:r w:rsidR="00A17AF8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>på småhusmarknaden. Det är ungefär på samma nivå som i förra undersökningen.</w:t>
      </w:r>
      <w:r w:rsidR="00A17AF8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>Den tredje faktorn som 61 procent av mäklarna bedömer har stor</w:t>
      </w:r>
      <w:r w:rsidR="00A17AF8"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="00F20646" w:rsidRPr="00786B70">
        <w:rPr>
          <w:rFonts w:ascii="Arial" w:hAnsi="Arial" w:cs="Arial"/>
          <w:color w:val="404040" w:themeColor="text1" w:themeTint="BF"/>
          <w:sz w:val="20"/>
          <w:szCs w:val="20"/>
        </w:rPr>
        <w:t>påverkan är räntan.</w:t>
      </w:r>
    </w:p>
    <w:p w:rsidR="00D64B80" w:rsidRPr="00786B70" w:rsidRDefault="00F20646" w:rsidP="00786B7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För </w:t>
      </w:r>
      <w:r w:rsidRPr="00786B70">
        <w:rPr>
          <w:rFonts w:ascii="Arial" w:hAnsi="Arial" w:cs="Arial"/>
          <w:b/>
          <w:color w:val="404040" w:themeColor="text1" w:themeTint="BF"/>
          <w:sz w:val="20"/>
          <w:szCs w:val="20"/>
        </w:rPr>
        <w:t>bostadsrättsmarknaden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>toppar media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>s rapportering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som den </w:t>
      </w:r>
      <w:r w:rsidR="00424108" w:rsidRPr="00786B70">
        <w:rPr>
          <w:rFonts w:ascii="Arial" w:hAnsi="Arial" w:cs="Arial"/>
          <w:color w:val="404040" w:themeColor="text1" w:themeTint="BF"/>
          <w:sz w:val="20"/>
          <w:szCs w:val="20"/>
        </w:rPr>
        <w:t>faktorn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med störst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påverkan. Detta enligt 64 procent av fastig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hetsmäklarna. 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>En tydlig förändring är att allt</w:t>
      </w:r>
      <w:r w:rsidR="00DC6D4F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fler mäklare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bedömer att bankernas restriktiva utlåning har stor på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verkan på bostadsrättsmarknaden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(förmodligen med amorteringskravet</w:t>
      </w:r>
      <w:r w:rsidR="0042410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i åtanke) och andelen har ökat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från 50 procent till 61 procent. Ett litet utb</w:t>
      </w:r>
      <w:r w:rsidR="00A17AF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ud har länge toppat listan över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påverkansfaktorer på bostadsrättsmarknad</w:t>
      </w:r>
      <w:r w:rsidR="0042410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en men i denna undersökning har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andel</w:t>
      </w:r>
      <w:r w:rsidR="00424108" w:rsidRPr="00786B70">
        <w:rPr>
          <w:rFonts w:ascii="Arial" w:hAnsi="Arial" w:cs="Arial"/>
          <w:color w:val="404040" w:themeColor="text1" w:themeTint="BF"/>
          <w:sz w:val="20"/>
          <w:szCs w:val="20"/>
        </w:rPr>
        <w:t>en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minskat med 19 procentenheter och ligger nu på 59 procent.</w:t>
      </w:r>
    </w:p>
    <w:p w:rsidR="00424108" w:rsidRPr="00786B70" w:rsidRDefault="00424108" w:rsidP="00786B7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424108" w:rsidRPr="00786B70" w:rsidRDefault="0067064D" w:rsidP="00786B70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Vi ser 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>tydligt att allt fler bostadskonsumenter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, framförallt de som ska in på marknaden för första gången, 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>saknar tillräckligt sparande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. Det i kombination med kraftig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prisutveckling och 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bankernas skärpta krav påverkar i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allt högre utsträckning människors framtidsmöjligheter. 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>Den u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t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>veckling vi ser är oroand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e, den första bostaden är en avgörande pusselbit i livet, </w:t>
      </w:r>
      <w:r w:rsidR="00424108" w:rsidRPr="00786B70">
        <w:rPr>
          <w:rFonts w:ascii="Arial" w:hAnsi="Arial" w:cs="Arial"/>
          <w:color w:val="404040" w:themeColor="text1" w:themeTint="BF"/>
          <w:sz w:val="20"/>
          <w:szCs w:val="20"/>
        </w:rPr>
        <w:t>säger I</w:t>
      </w:r>
      <w:r w:rsidR="004B48F4" w:rsidRPr="00786B70">
        <w:rPr>
          <w:rFonts w:ascii="Arial" w:hAnsi="Arial" w:cs="Arial"/>
          <w:color w:val="404040" w:themeColor="text1" w:themeTint="BF"/>
          <w:sz w:val="20"/>
          <w:szCs w:val="20"/>
        </w:rPr>
        <w:t>ngrid Eiken, VD, Mäklarsamfundet</w:t>
      </w:r>
      <w:r w:rsidR="00424108" w:rsidRPr="00786B70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424108" w:rsidRPr="00786B70" w:rsidRDefault="00424108" w:rsidP="00786B7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424108" w:rsidRPr="00786B70" w:rsidRDefault="0067064D" w:rsidP="00786B70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För att komma tillrätta med utmaningarna på bostadsmarknaden lägger våra beslutsfattare allt krut på att försvåra bostadsfinansiering, det löser knappast bostadsbristen som ju är själva grundproblemet.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Det 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>som krävs är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åtgärder som ökar utbudet av bostäder</w:t>
      </w:r>
      <w:r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, samtidigt som sparande stimuleras genom exempelvis avdragsrätt för bosparande. </w:t>
      </w:r>
      <w:r w:rsidR="002E6905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Det här är frågor vi ser fram emot att få </w:t>
      </w:r>
      <w:r w:rsidR="00424108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adressera i Almedalen i nästa vecka, säger Ingrid Eiken. </w:t>
      </w:r>
    </w:p>
    <w:p w:rsidR="00C72843" w:rsidRPr="00424108" w:rsidRDefault="00774DD6" w:rsidP="00786B70">
      <w:pPr>
        <w:spacing w:line="276" w:lineRule="auto"/>
        <w:rPr>
          <w:rStyle w:val="A5"/>
          <w:rFonts w:ascii="Arial" w:hAnsi="Arial" w:cs="Arial"/>
          <w:color w:val="404040" w:themeColor="text1" w:themeTint="BF"/>
        </w:rPr>
      </w:pPr>
      <w:r w:rsidRPr="00424108">
        <w:rPr>
          <w:rStyle w:val="A5"/>
          <w:rFonts w:ascii="Arial" w:hAnsi="Arial" w:cs="Arial"/>
          <w:color w:val="404040" w:themeColor="text1" w:themeTint="BF"/>
        </w:rPr>
        <w:br/>
      </w:r>
    </w:p>
    <w:p w:rsidR="00786B70" w:rsidRDefault="009032A2" w:rsidP="002F4A9E">
      <w:pPr>
        <w:spacing w:line="276" w:lineRule="auto"/>
        <w:rPr>
          <w:rFonts w:ascii="TradeGothicLTStd-Light" w:hAnsi="TradeGothicLTStd-Light" w:cs="TradeGothicLTStd-Light"/>
          <w:b/>
          <w:sz w:val="20"/>
          <w:szCs w:val="20"/>
        </w:rPr>
      </w:pPr>
      <w:r w:rsidRPr="00786B70">
        <w:rPr>
          <w:rStyle w:val="A5"/>
          <w:rFonts w:ascii="Arial" w:hAnsi="Arial" w:cs="Arial"/>
          <w:b/>
          <w:color w:val="404040" w:themeColor="text1" w:themeTint="BF"/>
        </w:rPr>
        <w:t xml:space="preserve">Diagram 1. </w:t>
      </w:r>
      <w:r w:rsidR="00F20646" w:rsidRPr="00786B70">
        <w:rPr>
          <w:rFonts w:ascii="TradeGothicLTStd-Light" w:hAnsi="TradeGothicLTStd-Light" w:cs="TradeGothicLTStd-Light"/>
          <w:b/>
          <w:color w:val="404040" w:themeColor="text1" w:themeTint="BF"/>
          <w:sz w:val="20"/>
          <w:szCs w:val="20"/>
        </w:rPr>
        <w:t>Hur finansierar förstagångsköparna sin bostad? Procent.</w:t>
      </w:r>
      <w:r w:rsidR="00A17AF8" w:rsidRPr="00786B70">
        <w:rPr>
          <w:b/>
          <w:noProof/>
          <w:color w:val="404040" w:themeColor="text1" w:themeTint="BF"/>
          <w:lang w:eastAsia="sv-SE"/>
        </w:rPr>
        <w:br/>
      </w:r>
      <w:r w:rsidR="00786B70">
        <w:rPr>
          <w:noProof/>
          <w:lang w:eastAsia="sv-SE"/>
        </w:rPr>
        <w:drawing>
          <wp:inline distT="0" distB="0" distL="0" distR="0" wp14:anchorId="0C946B2B" wp14:editId="34E00E10">
            <wp:extent cx="5760720" cy="355282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32A2" w:rsidRPr="00786B70" w:rsidRDefault="00A17AF8" w:rsidP="002F4A9E">
      <w:pPr>
        <w:spacing w:line="276" w:lineRule="auto"/>
        <w:rPr>
          <w:rFonts w:ascii="TradeGothicLTStd-Light" w:hAnsi="TradeGothicLTStd-Light" w:cs="TradeGothicLTStd-Light"/>
          <w:b/>
          <w:color w:val="404040" w:themeColor="text1" w:themeTint="BF"/>
          <w:sz w:val="20"/>
          <w:szCs w:val="20"/>
        </w:rPr>
      </w:pPr>
      <w:r>
        <w:rPr>
          <w:noProof/>
          <w:color w:val="404040" w:themeColor="text1" w:themeTint="BF"/>
          <w:lang w:eastAsia="sv-SE"/>
        </w:rPr>
        <w:br/>
      </w:r>
      <w:r w:rsidRPr="00786B70">
        <w:rPr>
          <w:b/>
          <w:noProof/>
          <w:color w:val="404040" w:themeColor="text1" w:themeTint="BF"/>
          <w:lang w:eastAsia="sv-SE"/>
        </w:rPr>
        <w:t>Diagram 2.</w:t>
      </w:r>
      <w:r w:rsidRPr="00786B70">
        <w:rPr>
          <w:noProof/>
          <w:color w:val="404040" w:themeColor="text1" w:themeTint="BF"/>
          <w:lang w:eastAsia="sv-SE"/>
        </w:rPr>
        <w:t xml:space="preserve"> </w:t>
      </w:r>
      <w:r w:rsidRPr="00786B70">
        <w:rPr>
          <w:rFonts w:ascii="TradeGothicLTStd-Light" w:hAnsi="TradeGothicLTStd-Light" w:cs="TradeGothicLTStd-Light"/>
          <w:b/>
          <w:color w:val="404040" w:themeColor="text1" w:themeTint="BF"/>
          <w:sz w:val="20"/>
          <w:szCs w:val="20"/>
        </w:rPr>
        <w:t>Vad påverkar din småhusmarknad just nu, och hur?</w:t>
      </w:r>
    </w:p>
    <w:p w:rsidR="00786B70" w:rsidRDefault="00786B70" w:rsidP="002F4A9E">
      <w:pPr>
        <w:spacing w:line="276" w:lineRule="auto"/>
        <w:rPr>
          <w:noProof/>
          <w:color w:val="404040" w:themeColor="text1" w:themeTint="BF"/>
          <w:lang w:eastAsia="sv-SE"/>
        </w:rPr>
      </w:pPr>
      <w:r>
        <w:rPr>
          <w:noProof/>
          <w:lang w:eastAsia="sv-SE"/>
        </w:rPr>
        <w:drawing>
          <wp:inline distT="0" distB="0" distL="0" distR="0" wp14:anchorId="2501830F" wp14:editId="460D9A2F">
            <wp:extent cx="5760720" cy="3895725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6B70" w:rsidRDefault="00786B70" w:rsidP="002F4A9E">
      <w:pPr>
        <w:spacing w:line="276" w:lineRule="auto"/>
        <w:rPr>
          <w:b/>
          <w:noProof/>
          <w:color w:val="404040" w:themeColor="text1" w:themeTint="BF"/>
          <w:lang w:eastAsia="sv-SE"/>
        </w:rPr>
      </w:pPr>
    </w:p>
    <w:p w:rsidR="00786B70" w:rsidRDefault="00786B70" w:rsidP="002F4A9E">
      <w:pPr>
        <w:spacing w:line="276" w:lineRule="auto"/>
        <w:rPr>
          <w:b/>
          <w:noProof/>
          <w:color w:val="404040" w:themeColor="text1" w:themeTint="BF"/>
          <w:lang w:eastAsia="sv-SE"/>
        </w:rPr>
      </w:pPr>
    </w:p>
    <w:p w:rsidR="00A17AF8" w:rsidRPr="00786B70" w:rsidRDefault="00A17AF8" w:rsidP="002F4A9E">
      <w:pPr>
        <w:spacing w:line="276" w:lineRule="auto"/>
        <w:rPr>
          <w:b/>
          <w:noProof/>
          <w:color w:val="404040" w:themeColor="text1" w:themeTint="BF"/>
          <w:lang w:eastAsia="sv-SE"/>
        </w:rPr>
      </w:pPr>
      <w:r w:rsidRPr="00786B70">
        <w:rPr>
          <w:b/>
          <w:noProof/>
          <w:color w:val="404040" w:themeColor="text1" w:themeTint="BF"/>
          <w:lang w:eastAsia="sv-SE"/>
        </w:rPr>
        <w:t>Diagram 3.</w:t>
      </w:r>
      <w:r w:rsidRPr="00786B70">
        <w:rPr>
          <w:noProof/>
          <w:color w:val="404040" w:themeColor="text1" w:themeTint="BF"/>
          <w:lang w:eastAsia="sv-SE"/>
        </w:rPr>
        <w:t xml:space="preserve"> </w:t>
      </w:r>
      <w:r w:rsidRPr="00786B70">
        <w:rPr>
          <w:rFonts w:ascii="TradeGothicLTStd-Light" w:hAnsi="TradeGothicLTStd-Light" w:cs="TradeGothicLTStd-Light"/>
          <w:b/>
          <w:color w:val="404040" w:themeColor="text1" w:themeTint="BF"/>
          <w:sz w:val="20"/>
          <w:szCs w:val="20"/>
        </w:rPr>
        <w:t>Vad påverkar din bostadsrättsmarknad just nu, och hur?</w:t>
      </w:r>
    </w:p>
    <w:p w:rsidR="00F20646" w:rsidRDefault="00786B70" w:rsidP="002F4A9E">
      <w:pPr>
        <w:spacing w:line="276" w:lineRule="auto"/>
        <w:rPr>
          <w:noProof/>
          <w:color w:val="404040" w:themeColor="text1" w:themeTint="BF"/>
          <w:lang w:eastAsia="sv-SE"/>
        </w:rPr>
      </w:pPr>
      <w:r>
        <w:rPr>
          <w:noProof/>
          <w:lang w:eastAsia="sv-SE"/>
        </w:rPr>
        <w:drawing>
          <wp:inline distT="0" distB="0" distL="0" distR="0" wp14:anchorId="2DD9445A" wp14:editId="031FEE37">
            <wp:extent cx="5760720" cy="3648075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4A97" w:rsidRPr="00053B88" w:rsidRDefault="00394A97" w:rsidP="00786B70">
      <w:pPr>
        <w:spacing w:line="276" w:lineRule="auto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8065AB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br/>
      </w:r>
      <w:r w:rsidR="00053B88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>Om Mäklarinsikt</w:t>
      </w:r>
      <w:r w:rsidR="00331DC7" w:rsidRPr="00786B70">
        <w:rPr>
          <w:rFonts w:ascii="Arial" w:hAnsi="Arial" w:cs="Arial"/>
          <w:color w:val="404040" w:themeColor="text1" w:themeTint="BF"/>
          <w:sz w:val="20"/>
          <w:szCs w:val="20"/>
        </w:rPr>
        <w:br/>
      </w:r>
      <w:proofErr w:type="spellStart"/>
      <w:r w:rsidR="00331DC7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>Mäklarinsikt</w:t>
      </w:r>
      <w:proofErr w:type="spellEnd"/>
      <w:r w:rsidR="00331DC7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är Sveriges största rikstäckande undersökning om bostadsmarknaden</w:t>
      </w:r>
      <w:r w:rsidR="00DC048B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>.</w:t>
      </w:r>
      <w:r w:rsidR="00331DC7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Undersökningen mäter fastighetsmäklarnas förhandsbedömningar avs</w:t>
      </w:r>
      <w:r w:rsidR="007C0AC5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eende prisutveckling, tillgång- </w:t>
      </w:r>
      <w:r w:rsidR="00331DC7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>och efterfrågan samt påverkansfaktorer på bostadsmarknaden och utkommer varje kvartal. Undersökn</w:t>
      </w:r>
      <w:r w:rsidR="0060730A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ingen genomfördes </w:t>
      </w:r>
      <w:r w:rsidR="0060730A" w:rsidRPr="00113CC7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mellan den </w:t>
      </w:r>
      <w:r w:rsidR="009E6DEB">
        <w:rPr>
          <w:rFonts w:ascii="Arial" w:hAnsi="Arial" w:cs="Arial"/>
          <w:i/>
          <w:color w:val="404040" w:themeColor="text1" w:themeTint="BF"/>
          <w:sz w:val="20"/>
          <w:szCs w:val="20"/>
        </w:rPr>
        <w:t>17 maj</w:t>
      </w:r>
      <w:r w:rsidR="00113CC7" w:rsidRPr="00113CC7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2016</w:t>
      </w:r>
      <w:r w:rsidR="00732271" w:rsidRPr="00113CC7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</w:t>
      </w:r>
      <w:r w:rsidR="0010521F" w:rsidRPr="00113CC7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</w:t>
      </w:r>
      <w:r w:rsidR="00113CC7" w:rsidRPr="00113CC7">
        <w:rPr>
          <w:rFonts w:ascii="Arial" w:hAnsi="Arial" w:cs="Arial"/>
          <w:i/>
          <w:color w:val="404040" w:themeColor="text1" w:themeTint="BF"/>
          <w:sz w:val="20"/>
          <w:szCs w:val="20"/>
        </w:rPr>
        <w:t>och den 10 juni 2016</w:t>
      </w:r>
      <w:r w:rsidR="00331DC7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bland Mäklarsamfundets m</w:t>
      </w:r>
      <w:r w:rsidR="00732271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edlemmar och besvarades </w:t>
      </w:r>
      <w:r w:rsidR="00B44E86" w:rsidRPr="00786B7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av </w:t>
      </w:r>
      <w:r w:rsidR="00113CC7" w:rsidRPr="00113CC7">
        <w:rPr>
          <w:rFonts w:ascii="Arial" w:hAnsi="Arial" w:cs="Arial"/>
          <w:i/>
          <w:color w:val="404040" w:themeColor="text1" w:themeTint="BF"/>
          <w:sz w:val="20"/>
          <w:szCs w:val="20"/>
        </w:rPr>
        <w:t>748</w:t>
      </w:r>
      <w:r w:rsidR="00B44E86" w:rsidRPr="00113CC7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</w:t>
      </w:r>
      <w:r w:rsidR="00331DC7" w:rsidRPr="00113CC7">
        <w:rPr>
          <w:rFonts w:ascii="Arial" w:hAnsi="Arial" w:cs="Arial"/>
          <w:i/>
          <w:color w:val="404040" w:themeColor="text1" w:themeTint="BF"/>
          <w:sz w:val="20"/>
          <w:szCs w:val="20"/>
        </w:rPr>
        <w:t>fastighetsmäklare.</w:t>
      </w:r>
      <w:r w:rsidR="00B44E86" w:rsidRPr="00786B70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br/>
      </w:r>
      <w:r w:rsidR="00B44E86" w:rsidRPr="00786B70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br/>
      </w:r>
      <w:r w:rsidR="00C9607B" w:rsidRPr="00786B70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>För ytterligare information kontakta</w:t>
      </w:r>
      <w:r w:rsidR="00C9607B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r w:rsidR="00C9607B" w:rsidRPr="00786B70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="00DE4829" w:rsidRPr="00786B70">
        <w:rPr>
          <w:rFonts w:ascii="Arial" w:hAnsi="Arial" w:cs="Arial"/>
          <w:color w:val="404040" w:themeColor="text1" w:themeTint="BF"/>
          <w:sz w:val="20"/>
          <w:szCs w:val="20"/>
        </w:rPr>
        <w:t>Ingrid Eiken</w:t>
      </w:r>
      <w:r w:rsidR="00732271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, VD, Mäklarsamfundet, 070-669 34 34 </w:t>
      </w:r>
      <w:r w:rsidR="00DE4829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E4829" w:rsidRPr="00786B70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="00474B65" w:rsidRPr="00786B70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Josefine Uppling, A</w:t>
      </w:r>
      <w:r w:rsidR="007C0AC5" w:rsidRPr="00786B70">
        <w:rPr>
          <w:rFonts w:ascii="Arial" w:hAnsi="Arial" w:cs="Arial"/>
          <w:color w:val="404040" w:themeColor="text1" w:themeTint="BF"/>
          <w:sz w:val="20"/>
          <w:szCs w:val="20"/>
        </w:rPr>
        <w:t xml:space="preserve">nalys- </w:t>
      </w:r>
      <w:r w:rsidR="00C9607B" w:rsidRPr="00786B70">
        <w:rPr>
          <w:rFonts w:ascii="Arial" w:hAnsi="Arial" w:cs="Arial"/>
          <w:color w:val="404040" w:themeColor="text1" w:themeTint="BF"/>
          <w:sz w:val="20"/>
          <w:szCs w:val="20"/>
        </w:rPr>
        <w:t>och kommunikationschef, 070-050 80 76</w:t>
      </w:r>
      <w:r w:rsidR="00D21080" w:rsidRPr="00786B70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C9607B" w:rsidRPr="00786B70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="00C9607B" w:rsidRPr="00786B70">
        <w:rPr>
          <w:rFonts w:ascii="Arial" w:hAnsi="Arial" w:cs="Arial"/>
          <w:i/>
          <w:color w:val="404040" w:themeColor="text1" w:themeTint="BF"/>
          <w:sz w:val="20"/>
          <w:szCs w:val="24"/>
        </w:rPr>
        <w:br/>
      </w:r>
      <w:r w:rsidRPr="006861E2">
        <w:rPr>
          <w:rFonts w:ascii="Arial" w:hAnsi="Arial" w:cs="Arial"/>
          <w:noProof/>
          <w:color w:val="404040" w:themeColor="text1" w:themeTint="BF"/>
          <w:sz w:val="20"/>
          <w:szCs w:val="20"/>
          <w:lang w:eastAsia="sv-SE"/>
        </w:rPr>
        <w:drawing>
          <wp:inline distT="0" distB="0" distL="0" distR="0" wp14:anchorId="60A96EE9" wp14:editId="5F10C678">
            <wp:extent cx="1419225" cy="210755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rid_Eiken_2015_9_cropp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813" cy="2115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3B10" w:rsidRPr="0051223C" w:rsidRDefault="00331DC7" w:rsidP="0051223C">
      <w:pPr>
        <w:spacing w:line="276" w:lineRule="auto"/>
        <w:rPr>
          <w:rFonts w:ascii="Arial" w:eastAsia="Times New Roman" w:hAnsi="Arial" w:cs="Arial"/>
          <w:color w:val="404040" w:themeColor="text1" w:themeTint="BF"/>
          <w:sz w:val="18"/>
          <w:szCs w:val="20"/>
          <w:lang w:eastAsia="sv-SE"/>
        </w:rPr>
      </w:pPr>
      <w:r w:rsidRPr="006861E2">
        <w:rPr>
          <w:rFonts w:ascii="Arial" w:eastAsia="Times New Roman" w:hAnsi="Arial" w:cs="Arial"/>
          <w:color w:val="404040" w:themeColor="text1" w:themeTint="BF"/>
          <w:sz w:val="18"/>
          <w:szCs w:val="20"/>
          <w:lang w:eastAsia="sv-SE"/>
        </w:rPr>
        <w:t xml:space="preserve">Pressbild </w:t>
      </w:r>
      <w:r w:rsidR="000E57F0" w:rsidRPr="006861E2">
        <w:rPr>
          <w:rFonts w:ascii="Arial" w:eastAsia="Times New Roman" w:hAnsi="Arial" w:cs="Arial"/>
          <w:color w:val="404040" w:themeColor="text1" w:themeTint="BF"/>
          <w:sz w:val="18"/>
          <w:szCs w:val="20"/>
          <w:lang w:eastAsia="sv-SE"/>
        </w:rPr>
        <w:t>Ingrid Eik</w:t>
      </w:r>
      <w:r w:rsidR="0010521F" w:rsidRPr="006861E2">
        <w:rPr>
          <w:rFonts w:ascii="Arial" w:eastAsia="Times New Roman" w:hAnsi="Arial" w:cs="Arial"/>
          <w:color w:val="404040" w:themeColor="text1" w:themeTint="BF"/>
          <w:sz w:val="18"/>
          <w:szCs w:val="20"/>
          <w:lang w:eastAsia="sv-SE"/>
        </w:rPr>
        <w:t>en</w:t>
      </w:r>
      <w:r w:rsidR="0010521F" w:rsidRPr="008065AB">
        <w:rPr>
          <w:rFonts w:ascii="Arial" w:eastAsia="Times New Roman" w:hAnsi="Arial" w:cs="Arial"/>
          <w:color w:val="404040" w:themeColor="text1" w:themeTint="BF"/>
          <w:sz w:val="18"/>
          <w:szCs w:val="20"/>
          <w:lang w:eastAsia="sv-SE"/>
        </w:rPr>
        <w:tab/>
      </w:r>
      <w:r w:rsidR="0010521F" w:rsidRPr="008065AB">
        <w:rPr>
          <w:rFonts w:ascii="Arial" w:eastAsia="Times New Roman" w:hAnsi="Arial" w:cs="Arial"/>
          <w:color w:val="404040" w:themeColor="text1" w:themeTint="BF"/>
          <w:sz w:val="18"/>
          <w:szCs w:val="20"/>
          <w:lang w:eastAsia="sv-SE"/>
        </w:rPr>
        <w:tab/>
        <w:t xml:space="preserve">       </w:t>
      </w:r>
      <w:r w:rsidR="0010521F" w:rsidRPr="008065AB">
        <w:rPr>
          <w:rFonts w:ascii="Arial" w:eastAsia="Times New Roman" w:hAnsi="Arial" w:cs="Arial"/>
          <w:color w:val="404040" w:themeColor="text1" w:themeTint="BF"/>
          <w:sz w:val="18"/>
          <w:szCs w:val="20"/>
          <w:lang w:eastAsia="sv-SE"/>
        </w:rPr>
        <w:br/>
        <w:t>Foto: Carina Vik</w:t>
      </w:r>
      <w:r w:rsidR="00BF5A78" w:rsidRPr="008065AB">
        <w:rPr>
          <w:rFonts w:ascii="Arial" w:eastAsia="Times New Roman" w:hAnsi="Arial" w:cs="Arial"/>
          <w:color w:val="404040" w:themeColor="text1" w:themeTint="BF"/>
          <w:sz w:val="18"/>
          <w:szCs w:val="20"/>
          <w:lang w:eastAsia="sv-SE"/>
        </w:rPr>
        <w:t>arby</w:t>
      </w:r>
    </w:p>
    <w:p w:rsidR="00B23B10" w:rsidRPr="008065AB" w:rsidRDefault="00B23B10" w:rsidP="002F4A9E">
      <w:pPr>
        <w:spacing w:line="276" w:lineRule="auto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sv-SE"/>
        </w:rPr>
      </w:pPr>
    </w:p>
    <w:sectPr w:rsidR="00B23B10" w:rsidRPr="008065A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24F" w:rsidRDefault="005E224F" w:rsidP="004A6661">
      <w:pPr>
        <w:spacing w:after="0" w:line="240" w:lineRule="auto"/>
      </w:pPr>
      <w:r>
        <w:separator/>
      </w:r>
    </w:p>
  </w:endnote>
  <w:endnote w:type="continuationSeparator" w:id="0">
    <w:p w:rsidR="005E224F" w:rsidRDefault="005E224F" w:rsidP="004A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 Gothic LT Std Light">
    <w:altName w:val="Trade Gothic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030162"/>
      <w:docPartObj>
        <w:docPartGallery w:val="Page Numbers (Bottom of Page)"/>
        <w:docPartUnique/>
      </w:docPartObj>
    </w:sdtPr>
    <w:sdtEndPr/>
    <w:sdtContent>
      <w:p w:rsidR="004A6661" w:rsidRDefault="004A6661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1E2">
          <w:rPr>
            <w:noProof/>
          </w:rPr>
          <w:t>3</w:t>
        </w:r>
        <w:r>
          <w:fldChar w:fldCharType="end"/>
        </w:r>
      </w:p>
    </w:sdtContent>
  </w:sdt>
  <w:p w:rsidR="004A6661" w:rsidRDefault="004A666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24F" w:rsidRDefault="005E224F" w:rsidP="004A6661">
      <w:pPr>
        <w:spacing w:after="0" w:line="240" w:lineRule="auto"/>
      </w:pPr>
      <w:r>
        <w:separator/>
      </w:r>
    </w:p>
  </w:footnote>
  <w:footnote w:type="continuationSeparator" w:id="0">
    <w:p w:rsidR="005E224F" w:rsidRDefault="005E224F" w:rsidP="004A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737DC"/>
    <w:multiLevelType w:val="hybridMultilevel"/>
    <w:tmpl w:val="278222EE"/>
    <w:lvl w:ilvl="0" w:tplc="AB0EE9C8">
      <w:numFmt w:val="bullet"/>
      <w:lvlText w:val="̶"/>
      <w:lvlJc w:val="left"/>
      <w:pPr>
        <w:ind w:left="720" w:hanging="360"/>
      </w:pPr>
      <w:rPr>
        <w:rFonts w:ascii="Calibri" w:eastAsiaTheme="minorHAnsi" w:hAnsi="Calibri" w:cstheme="minorBidi" w:hint="default"/>
        <w:color w:val="3D3D3D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B0074"/>
    <w:multiLevelType w:val="hybridMultilevel"/>
    <w:tmpl w:val="62664EF0"/>
    <w:lvl w:ilvl="0" w:tplc="D5EEA69C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  <w:color w:val="3D3D3D"/>
        <w:sz w:val="2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212DA1"/>
    <w:multiLevelType w:val="hybridMultilevel"/>
    <w:tmpl w:val="11761EAE"/>
    <w:lvl w:ilvl="0" w:tplc="F8769218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34769F8"/>
    <w:multiLevelType w:val="hybridMultilevel"/>
    <w:tmpl w:val="549C5280"/>
    <w:lvl w:ilvl="0" w:tplc="C856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90628"/>
    <w:multiLevelType w:val="hybridMultilevel"/>
    <w:tmpl w:val="F43C6D0E"/>
    <w:lvl w:ilvl="0" w:tplc="B678BB46">
      <w:numFmt w:val="bullet"/>
      <w:lvlText w:val="̶"/>
      <w:lvlJc w:val="left"/>
      <w:pPr>
        <w:ind w:left="720" w:hanging="360"/>
      </w:pPr>
      <w:rPr>
        <w:rFonts w:ascii="Calibri" w:eastAsiaTheme="minorHAnsi" w:hAnsi="Calibri" w:cstheme="minorBidi" w:hint="default"/>
        <w:color w:val="3D3D3D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F0755"/>
    <w:multiLevelType w:val="hybridMultilevel"/>
    <w:tmpl w:val="B22CED86"/>
    <w:lvl w:ilvl="0" w:tplc="5812018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45"/>
    <w:rsid w:val="0000370C"/>
    <w:rsid w:val="00007CDE"/>
    <w:rsid w:val="0003685E"/>
    <w:rsid w:val="00041EAE"/>
    <w:rsid w:val="00053B88"/>
    <w:rsid w:val="000755F5"/>
    <w:rsid w:val="00097AF5"/>
    <w:rsid w:val="000D4179"/>
    <w:rsid w:val="000E42B4"/>
    <w:rsid w:val="000E57F0"/>
    <w:rsid w:val="00101B85"/>
    <w:rsid w:val="0010521F"/>
    <w:rsid w:val="001137D2"/>
    <w:rsid w:val="00113CC7"/>
    <w:rsid w:val="001301A7"/>
    <w:rsid w:val="00170477"/>
    <w:rsid w:val="001919D9"/>
    <w:rsid w:val="00193D50"/>
    <w:rsid w:val="001B09A0"/>
    <w:rsid w:val="001C64A9"/>
    <w:rsid w:val="001D0295"/>
    <w:rsid w:val="001D1242"/>
    <w:rsid w:val="001F0FCC"/>
    <w:rsid w:val="002309C1"/>
    <w:rsid w:val="00245508"/>
    <w:rsid w:val="00251AE1"/>
    <w:rsid w:val="00263CCB"/>
    <w:rsid w:val="002A221F"/>
    <w:rsid w:val="002E1FDB"/>
    <w:rsid w:val="002E6905"/>
    <w:rsid w:val="002F4A9E"/>
    <w:rsid w:val="003111B4"/>
    <w:rsid w:val="00317691"/>
    <w:rsid w:val="00330594"/>
    <w:rsid w:val="00331DC7"/>
    <w:rsid w:val="003416F1"/>
    <w:rsid w:val="00380514"/>
    <w:rsid w:val="00394A97"/>
    <w:rsid w:val="003C3896"/>
    <w:rsid w:val="003C548B"/>
    <w:rsid w:val="00420264"/>
    <w:rsid w:val="00424108"/>
    <w:rsid w:val="00442006"/>
    <w:rsid w:val="00474B65"/>
    <w:rsid w:val="00480872"/>
    <w:rsid w:val="0049530A"/>
    <w:rsid w:val="004A6661"/>
    <w:rsid w:val="004B48F4"/>
    <w:rsid w:val="004C094B"/>
    <w:rsid w:val="004D2771"/>
    <w:rsid w:val="0051223C"/>
    <w:rsid w:val="00575470"/>
    <w:rsid w:val="00596167"/>
    <w:rsid w:val="005A65D0"/>
    <w:rsid w:val="005C54CF"/>
    <w:rsid w:val="005E224F"/>
    <w:rsid w:val="0060730A"/>
    <w:rsid w:val="0067064D"/>
    <w:rsid w:val="00673DBD"/>
    <w:rsid w:val="0067639B"/>
    <w:rsid w:val="00676582"/>
    <w:rsid w:val="00681151"/>
    <w:rsid w:val="006861E2"/>
    <w:rsid w:val="006A0D5B"/>
    <w:rsid w:val="006B2439"/>
    <w:rsid w:val="006C1590"/>
    <w:rsid w:val="006C4722"/>
    <w:rsid w:val="006E4458"/>
    <w:rsid w:val="006F0AB0"/>
    <w:rsid w:val="006F468D"/>
    <w:rsid w:val="006F4F39"/>
    <w:rsid w:val="00702232"/>
    <w:rsid w:val="00714E9F"/>
    <w:rsid w:val="00732271"/>
    <w:rsid w:val="00752D9D"/>
    <w:rsid w:val="00774DD6"/>
    <w:rsid w:val="00786B70"/>
    <w:rsid w:val="00786BEB"/>
    <w:rsid w:val="007C0AC5"/>
    <w:rsid w:val="007C4A18"/>
    <w:rsid w:val="007C6558"/>
    <w:rsid w:val="00801AFC"/>
    <w:rsid w:val="008065AB"/>
    <w:rsid w:val="0085634E"/>
    <w:rsid w:val="00870D55"/>
    <w:rsid w:val="00880B7E"/>
    <w:rsid w:val="00883EB5"/>
    <w:rsid w:val="009032A2"/>
    <w:rsid w:val="009120DF"/>
    <w:rsid w:val="0096385F"/>
    <w:rsid w:val="009658E1"/>
    <w:rsid w:val="00981936"/>
    <w:rsid w:val="00990F58"/>
    <w:rsid w:val="009A2658"/>
    <w:rsid w:val="009B25EF"/>
    <w:rsid w:val="009E0018"/>
    <w:rsid w:val="009E6DEB"/>
    <w:rsid w:val="00A136BD"/>
    <w:rsid w:val="00A174F1"/>
    <w:rsid w:val="00A17AF8"/>
    <w:rsid w:val="00A22F0F"/>
    <w:rsid w:val="00A71C51"/>
    <w:rsid w:val="00AF5A0E"/>
    <w:rsid w:val="00B04CE8"/>
    <w:rsid w:val="00B04FCD"/>
    <w:rsid w:val="00B23B10"/>
    <w:rsid w:val="00B44E86"/>
    <w:rsid w:val="00B8214F"/>
    <w:rsid w:val="00B93841"/>
    <w:rsid w:val="00BF56B3"/>
    <w:rsid w:val="00BF5A78"/>
    <w:rsid w:val="00BF64F5"/>
    <w:rsid w:val="00C33724"/>
    <w:rsid w:val="00C45264"/>
    <w:rsid w:val="00C51ABE"/>
    <w:rsid w:val="00C56084"/>
    <w:rsid w:val="00C72843"/>
    <w:rsid w:val="00C77468"/>
    <w:rsid w:val="00C86C1D"/>
    <w:rsid w:val="00C9607B"/>
    <w:rsid w:val="00CC0FBA"/>
    <w:rsid w:val="00CE266B"/>
    <w:rsid w:val="00CE4721"/>
    <w:rsid w:val="00CF09E4"/>
    <w:rsid w:val="00D21080"/>
    <w:rsid w:val="00D46C13"/>
    <w:rsid w:val="00D64B80"/>
    <w:rsid w:val="00D85929"/>
    <w:rsid w:val="00D97439"/>
    <w:rsid w:val="00DA7808"/>
    <w:rsid w:val="00DB68D1"/>
    <w:rsid w:val="00DC048B"/>
    <w:rsid w:val="00DC6D4F"/>
    <w:rsid w:val="00DD4414"/>
    <w:rsid w:val="00DE4829"/>
    <w:rsid w:val="00E0432A"/>
    <w:rsid w:val="00E11FC3"/>
    <w:rsid w:val="00E5429F"/>
    <w:rsid w:val="00EF6E45"/>
    <w:rsid w:val="00F111BC"/>
    <w:rsid w:val="00F20646"/>
    <w:rsid w:val="00F245D0"/>
    <w:rsid w:val="00FE2BDE"/>
    <w:rsid w:val="00FE5DA5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3EEF6-4886-4914-BCC3-9A83E6F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EF6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F6E4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Betoning">
    <w:name w:val="Emphasis"/>
    <w:basedOn w:val="Standardstycketeckensnitt"/>
    <w:uiPriority w:val="20"/>
    <w:qFormat/>
    <w:rsid w:val="00EF6E45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EF6E45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33059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658E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A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6661"/>
  </w:style>
  <w:style w:type="paragraph" w:styleId="Sidfot">
    <w:name w:val="footer"/>
    <w:basedOn w:val="Normal"/>
    <w:link w:val="SidfotChar"/>
    <w:uiPriority w:val="99"/>
    <w:unhideWhenUsed/>
    <w:rsid w:val="004A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6661"/>
  </w:style>
  <w:style w:type="character" w:customStyle="1" w:styleId="A5">
    <w:name w:val="A5"/>
    <w:uiPriority w:val="99"/>
    <w:rsid w:val="00474B65"/>
    <w:rPr>
      <w:rFonts w:cs="Trade Gothic LT Std Light"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7439"/>
    <w:rPr>
      <w:rFonts w:ascii="Segoe UI" w:hAnsi="Segoe UI" w:cs="Segoe UI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596167"/>
    <w:pPr>
      <w:autoSpaceDE w:val="0"/>
      <w:autoSpaceDN w:val="0"/>
      <w:adjustRightInd w:val="0"/>
      <w:spacing w:after="0" w:line="241" w:lineRule="atLeast"/>
    </w:pPr>
    <w:rPr>
      <w:rFonts w:ascii="Trade Gothic LT Std" w:hAnsi="Trade Gothic LT Std"/>
      <w:sz w:val="24"/>
      <w:szCs w:val="24"/>
    </w:rPr>
  </w:style>
  <w:style w:type="character" w:customStyle="1" w:styleId="A4">
    <w:name w:val="A4"/>
    <w:uiPriority w:val="99"/>
    <w:rsid w:val="00596167"/>
    <w:rPr>
      <w:rFonts w:cs="Trade Gothic LT Std"/>
      <w:color w:val="000000"/>
      <w:sz w:val="17"/>
      <w:szCs w:val="17"/>
    </w:rPr>
  </w:style>
  <w:style w:type="character" w:customStyle="1" w:styleId="A3">
    <w:name w:val="A3"/>
    <w:uiPriority w:val="99"/>
    <w:rsid w:val="00575470"/>
    <w:rPr>
      <w:rFonts w:cs="Trade Gothic LT Std"/>
      <w:color w:val="000000"/>
      <w:sz w:val="18"/>
      <w:szCs w:val="18"/>
    </w:rPr>
  </w:style>
  <w:style w:type="character" w:customStyle="1" w:styleId="A11">
    <w:name w:val="A11"/>
    <w:uiPriority w:val="99"/>
    <w:rsid w:val="00575470"/>
    <w:rPr>
      <w:rFonts w:cs="Trade Gothic LT Std"/>
      <w:color w:val="000000"/>
      <w:sz w:val="12"/>
      <w:szCs w:val="12"/>
    </w:rPr>
  </w:style>
  <w:style w:type="table" w:customStyle="1" w:styleId="Ljusskuggning-dekorfrg21">
    <w:name w:val="Ljus skuggning - dekorfärg 21"/>
    <w:basedOn w:val="Normaltabell"/>
    <w:next w:val="Ljusskuggning-dekorfrg2"/>
    <w:uiPriority w:val="60"/>
    <w:rsid w:val="006C4722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C47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9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-kalkylblad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-kalkylblad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-kalkylblad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Finansiering!$A$16:$A$19</c:f>
              <c:strCache>
                <c:ptCount val="4"/>
                <c:pt idx="0">
                  <c:v>Annat</c:v>
                </c:pt>
                <c:pt idx="1">
                  <c:v>Förstagångsköparen tar hjälp av t.ex. föräldrarna som köper och står som ägare för hela bostaden.</c:v>
                </c:pt>
                <c:pt idx="2">
                  <c:v>Förstagångsköparen står för både kontantinsats och bolån själv.</c:v>
                </c:pt>
                <c:pt idx="3">
                  <c:v>Förstagångsköparen får delvis hjälp. Exempelvis av föräldrarna med kontantinsats och/eller att de står som delägare eller medlåntagare.</c:v>
                </c:pt>
              </c:strCache>
            </c:strRef>
          </c:cat>
          <c:val>
            <c:numRef>
              <c:f>Finansiering!$B$16:$B$19</c:f>
              <c:numCache>
                <c:formatCode>0%</c:formatCode>
                <c:ptCount val="4"/>
                <c:pt idx="0">
                  <c:v>0.02</c:v>
                </c:pt>
                <c:pt idx="1">
                  <c:v>0.04</c:v>
                </c:pt>
                <c:pt idx="2">
                  <c:v>0.21</c:v>
                </c:pt>
                <c:pt idx="3">
                  <c:v>0.73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414407752"/>
        <c:axId val="414408144"/>
      </c:barChart>
      <c:catAx>
        <c:axId val="414407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14408144"/>
        <c:crosses val="autoZero"/>
        <c:auto val="1"/>
        <c:lblAlgn val="ctr"/>
        <c:lblOffset val="100"/>
        <c:noMultiLvlLbl val="0"/>
      </c:catAx>
      <c:valAx>
        <c:axId val="41440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14407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>
              <a:lumMod val="75000"/>
              <a:lumOff val="25000"/>
            </a:schemeClr>
          </a:solidFill>
        </a:defRPr>
      </a:pPr>
      <a:endParaRPr lang="sv-S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'Påverkan småhus'!$B$17</c:f>
              <c:strCache>
                <c:ptCount val="1"/>
                <c:pt idx="0">
                  <c:v>Liten påverkan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'Påverkan småhus'!$A$18:$A$27</c:f>
              <c:strCache>
                <c:ptCount val="10"/>
                <c:pt idx="0">
                  <c:v>Pessimism gällande den egna ekonomin</c:v>
                </c:pt>
                <c:pt idx="1">
                  <c:v>Stort utbud</c:v>
                </c:pt>
                <c:pt idx="2">
                  <c:v>Optimism gällande den egna ekonomin</c:v>
                </c:pt>
                <c:pt idx="3">
                  <c:v>Allmän oro och försiktighet</c:v>
                </c:pt>
                <c:pt idx="4">
                  <c:v>Arbetsmarknaden</c:v>
                </c:pt>
                <c:pt idx="5">
                  <c:v>Säsong</c:v>
                </c:pt>
                <c:pt idx="6">
                  <c:v>Bankernas restriktiva utlåning</c:v>
                </c:pt>
                <c:pt idx="7">
                  <c:v>Räntan</c:v>
                </c:pt>
                <c:pt idx="8">
                  <c:v>Media</c:v>
                </c:pt>
                <c:pt idx="9">
                  <c:v>Litet utbud</c:v>
                </c:pt>
              </c:strCache>
            </c:strRef>
          </c:cat>
          <c:val>
            <c:numRef>
              <c:f>'Påverkan småhus'!$B$18:$B$27</c:f>
              <c:numCache>
                <c:formatCode>0%</c:formatCode>
                <c:ptCount val="10"/>
                <c:pt idx="0">
                  <c:v>0.25</c:v>
                </c:pt>
                <c:pt idx="1">
                  <c:v>0.39</c:v>
                </c:pt>
                <c:pt idx="2">
                  <c:v>0.09</c:v>
                </c:pt>
                <c:pt idx="3">
                  <c:v>0.17</c:v>
                </c:pt>
                <c:pt idx="4">
                  <c:v>0.21</c:v>
                </c:pt>
                <c:pt idx="5">
                  <c:v>0.15</c:v>
                </c:pt>
                <c:pt idx="6">
                  <c:v>0.12</c:v>
                </c:pt>
                <c:pt idx="7">
                  <c:v>0.16</c:v>
                </c:pt>
                <c:pt idx="8">
                  <c:v>7.0000000000000007E-2</c:v>
                </c:pt>
                <c:pt idx="9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'Påverkan småhus'!$C$17</c:f>
              <c:strCache>
                <c:ptCount val="1"/>
                <c:pt idx="0">
                  <c:v>Stor påverkan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'Påverkan småhus'!$A$18:$A$27</c:f>
              <c:strCache>
                <c:ptCount val="10"/>
                <c:pt idx="0">
                  <c:v>Pessimism gällande den egna ekonomin</c:v>
                </c:pt>
                <c:pt idx="1">
                  <c:v>Stort utbud</c:v>
                </c:pt>
                <c:pt idx="2">
                  <c:v>Optimism gällande den egna ekonomin</c:v>
                </c:pt>
                <c:pt idx="3">
                  <c:v>Allmän oro och försiktighet</c:v>
                </c:pt>
                <c:pt idx="4">
                  <c:v>Arbetsmarknaden</c:v>
                </c:pt>
                <c:pt idx="5">
                  <c:v>Säsong</c:v>
                </c:pt>
                <c:pt idx="6">
                  <c:v>Bankernas restriktiva utlåning</c:v>
                </c:pt>
                <c:pt idx="7">
                  <c:v>Räntan</c:v>
                </c:pt>
                <c:pt idx="8">
                  <c:v>Media</c:v>
                </c:pt>
                <c:pt idx="9">
                  <c:v>Litet utbud</c:v>
                </c:pt>
              </c:strCache>
            </c:strRef>
          </c:cat>
          <c:val>
            <c:numRef>
              <c:f>'Påverkan småhus'!$C$18:$C$27</c:f>
              <c:numCache>
                <c:formatCode>0%</c:formatCode>
                <c:ptCount val="10"/>
                <c:pt idx="0">
                  <c:v>0.22</c:v>
                </c:pt>
                <c:pt idx="1">
                  <c:v>0.3</c:v>
                </c:pt>
                <c:pt idx="2">
                  <c:v>0.37</c:v>
                </c:pt>
                <c:pt idx="3">
                  <c:v>0.39</c:v>
                </c:pt>
                <c:pt idx="4">
                  <c:v>0.43</c:v>
                </c:pt>
                <c:pt idx="5">
                  <c:v>0.49</c:v>
                </c:pt>
                <c:pt idx="6">
                  <c:v>0.59</c:v>
                </c:pt>
                <c:pt idx="7">
                  <c:v>0.61</c:v>
                </c:pt>
                <c:pt idx="8">
                  <c:v>0.64</c:v>
                </c:pt>
                <c:pt idx="9">
                  <c:v>0.71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430541168"/>
        <c:axId val="430541560"/>
      </c:barChart>
      <c:catAx>
        <c:axId val="430541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30541560"/>
        <c:crosses val="autoZero"/>
        <c:auto val="1"/>
        <c:lblAlgn val="ctr"/>
        <c:lblOffset val="100"/>
        <c:noMultiLvlLbl val="0"/>
      </c:catAx>
      <c:valAx>
        <c:axId val="430541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3054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>
              <a:lumMod val="75000"/>
              <a:lumOff val="25000"/>
            </a:schemeClr>
          </a:solidFill>
        </a:defRPr>
      </a:pPr>
      <a:endParaRPr lang="sv-S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'Påverkan bostadsrätter'!$B$16</c:f>
              <c:strCache>
                <c:ptCount val="1"/>
                <c:pt idx="0">
                  <c:v>Liten påverkan</c:v>
                </c:pt>
              </c:strCache>
            </c:strRef>
          </c:tx>
          <c:spPr>
            <a:solidFill>
              <a:schemeClr val="accent3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'Påverkan bostadsrätter'!$A$17:$A$26</c:f>
              <c:strCache>
                <c:ptCount val="10"/>
                <c:pt idx="0">
                  <c:v>Pessimism gällande den egna ekonomin</c:v>
                </c:pt>
                <c:pt idx="1">
                  <c:v>Optimism gällande den egna ekonomin</c:v>
                </c:pt>
                <c:pt idx="2">
                  <c:v>Säsong</c:v>
                </c:pt>
                <c:pt idx="3">
                  <c:v>Arbetsmarknaden</c:v>
                </c:pt>
                <c:pt idx="4">
                  <c:v>Stort utbud</c:v>
                </c:pt>
                <c:pt idx="5">
                  <c:v>Allmän oro och försiktighet</c:v>
                </c:pt>
                <c:pt idx="6">
                  <c:v>Räntan</c:v>
                </c:pt>
                <c:pt idx="7">
                  <c:v>Litet utbud</c:v>
                </c:pt>
                <c:pt idx="8">
                  <c:v>Bankernas restriktiva utlåning</c:v>
                </c:pt>
                <c:pt idx="9">
                  <c:v>Media</c:v>
                </c:pt>
              </c:strCache>
            </c:strRef>
          </c:cat>
          <c:val>
            <c:numRef>
              <c:f>'Påverkan bostadsrätter'!$B$17:$B$26</c:f>
              <c:numCache>
                <c:formatCode>0%</c:formatCode>
                <c:ptCount val="10"/>
                <c:pt idx="0">
                  <c:v>0.22</c:v>
                </c:pt>
                <c:pt idx="1">
                  <c:v>0.1</c:v>
                </c:pt>
                <c:pt idx="2">
                  <c:v>0.21</c:v>
                </c:pt>
                <c:pt idx="3">
                  <c:v>0.23</c:v>
                </c:pt>
                <c:pt idx="4">
                  <c:v>0.31</c:v>
                </c:pt>
                <c:pt idx="5">
                  <c:v>0.13</c:v>
                </c:pt>
                <c:pt idx="6">
                  <c:v>0.17</c:v>
                </c:pt>
                <c:pt idx="7">
                  <c:v>0.15</c:v>
                </c:pt>
                <c:pt idx="8">
                  <c:v>0.11</c:v>
                </c:pt>
                <c:pt idx="9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'Påverkan bostadsrätter'!$C$16</c:f>
              <c:strCache>
                <c:ptCount val="1"/>
                <c:pt idx="0">
                  <c:v>Stor påverkan</c:v>
                </c:pt>
              </c:strCache>
            </c:strRef>
          </c:tx>
          <c:spPr>
            <a:solidFill>
              <a:schemeClr val="accent3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'Påverkan bostadsrätter'!$A$17:$A$26</c:f>
              <c:strCache>
                <c:ptCount val="10"/>
                <c:pt idx="0">
                  <c:v>Pessimism gällande den egna ekonomin</c:v>
                </c:pt>
                <c:pt idx="1">
                  <c:v>Optimism gällande den egna ekonomin</c:v>
                </c:pt>
                <c:pt idx="2">
                  <c:v>Säsong</c:v>
                </c:pt>
                <c:pt idx="3">
                  <c:v>Arbetsmarknaden</c:v>
                </c:pt>
                <c:pt idx="4">
                  <c:v>Stort utbud</c:v>
                </c:pt>
                <c:pt idx="5">
                  <c:v>Allmän oro och försiktighet</c:v>
                </c:pt>
                <c:pt idx="6">
                  <c:v>Räntan</c:v>
                </c:pt>
                <c:pt idx="7">
                  <c:v>Litet utbud</c:v>
                </c:pt>
                <c:pt idx="8">
                  <c:v>Bankernas restriktiva utlåning</c:v>
                </c:pt>
                <c:pt idx="9">
                  <c:v>Media</c:v>
                </c:pt>
              </c:strCache>
            </c:strRef>
          </c:cat>
          <c:val>
            <c:numRef>
              <c:f>'Påverkan bostadsrätter'!$C$17:$C$26</c:f>
              <c:numCache>
                <c:formatCode>0%</c:formatCode>
                <c:ptCount val="10"/>
                <c:pt idx="0">
                  <c:v>0.23</c:v>
                </c:pt>
                <c:pt idx="1">
                  <c:v>0.35</c:v>
                </c:pt>
                <c:pt idx="2">
                  <c:v>0.36</c:v>
                </c:pt>
                <c:pt idx="3">
                  <c:v>0.41</c:v>
                </c:pt>
                <c:pt idx="4">
                  <c:v>0.41</c:v>
                </c:pt>
                <c:pt idx="5">
                  <c:v>0.44</c:v>
                </c:pt>
                <c:pt idx="6">
                  <c:v>0.59</c:v>
                </c:pt>
                <c:pt idx="7">
                  <c:v>0.59</c:v>
                </c:pt>
                <c:pt idx="8">
                  <c:v>0.61</c:v>
                </c:pt>
                <c:pt idx="9">
                  <c:v>0.64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446650616"/>
        <c:axId val="446651008"/>
      </c:barChart>
      <c:catAx>
        <c:axId val="446650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46651008"/>
        <c:crosses val="autoZero"/>
        <c:auto val="1"/>
        <c:lblAlgn val="ctr"/>
        <c:lblOffset val="100"/>
        <c:noMultiLvlLbl val="0"/>
      </c:catAx>
      <c:valAx>
        <c:axId val="446651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46650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>
              <a:lumMod val="75000"/>
              <a:lumOff val="25000"/>
            </a:schemeClr>
          </a:solidFill>
        </a:defRPr>
      </a:pPr>
      <a:endParaRPr lang="sv-S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525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Eiken</dc:creator>
  <cp:keywords/>
  <dc:description/>
  <cp:lastModifiedBy>Caroline Berg</cp:lastModifiedBy>
  <cp:revision>10</cp:revision>
  <cp:lastPrinted>2016-01-20T14:54:00Z</cp:lastPrinted>
  <dcterms:created xsi:type="dcterms:W3CDTF">2016-06-29T14:18:00Z</dcterms:created>
  <dcterms:modified xsi:type="dcterms:W3CDTF">2016-06-29T14:38:00Z</dcterms:modified>
</cp:coreProperties>
</file>