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3F332" w14:textId="77777777" w:rsidR="00677AAD" w:rsidRPr="009720F1" w:rsidRDefault="00677AAD" w:rsidP="00677AA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fi-FI"/>
        </w:rPr>
      </w:pPr>
      <w:proofErr w:type="spellStart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Text</w:t>
      </w:r>
      <w:proofErr w:type="spellEnd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from</w:t>
      </w:r>
      <w:proofErr w:type="spellEnd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Knauf</w:t>
      </w:r>
      <w:proofErr w:type="spellEnd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Insulation</w:t>
      </w:r>
      <w:proofErr w:type="spellEnd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free</w:t>
      </w:r>
      <w:proofErr w:type="spellEnd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 xml:space="preserve"> for </w:t>
      </w:r>
      <w:proofErr w:type="spellStart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use</w:t>
      </w:r>
      <w:proofErr w:type="spellEnd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:</w:t>
      </w:r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br/>
      </w:r>
      <w:r w:rsidRPr="009720F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fi-FI"/>
        </w:rPr>
        <w:br/>
      </w:r>
      <w:bookmarkStart w:id="0" w:name="_GoBack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 xml:space="preserve">Turvallista </w:t>
      </w:r>
      <w:proofErr w:type="spellStart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asumisa</w:t>
      </w:r>
      <w:proofErr w:type="spellEnd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 xml:space="preserve"> Linköpingissä – </w:t>
      </w:r>
      <w:proofErr w:type="spellStart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EcoBatt</w:t>
      </w:r>
      <w:proofErr w:type="spellEnd"/>
      <w:r w:rsidRPr="009720F1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 xml:space="preserve"> valittiin testaamisen perusteella</w:t>
      </w:r>
      <w:bookmarkEnd w:id="0"/>
      <w:r w:rsidRPr="009720F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fi-FI"/>
        </w:rPr>
        <w:br/>
      </w:r>
      <w:r w:rsidRPr="009720F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fi-FI"/>
        </w:rPr>
        <w:br/>
      </w:r>
      <w:r w:rsidRPr="009720F1">
        <w:rPr>
          <w:rFonts w:ascii="Arial" w:hAnsi="Arial" w:cs="Arial"/>
          <w:b/>
          <w:bCs/>
          <w:color w:val="000000" w:themeColor="text1"/>
          <w:sz w:val="22"/>
          <w:szCs w:val="22"/>
          <w:lang w:val="fi-FI"/>
        </w:rPr>
        <w:t xml:space="preserve">Linköping FC ja kiinteistöyhtiö </w:t>
      </w:r>
      <w:proofErr w:type="spellStart"/>
      <w:r w:rsidRPr="009720F1">
        <w:rPr>
          <w:rFonts w:ascii="Arial" w:hAnsi="Arial" w:cs="Arial"/>
          <w:b/>
          <w:bCs/>
          <w:color w:val="000000" w:themeColor="text1"/>
          <w:sz w:val="22"/>
          <w:szCs w:val="22"/>
          <w:lang w:val="fi-FI"/>
        </w:rPr>
        <w:t>Botrygg</w:t>
      </w:r>
      <w:proofErr w:type="spellEnd"/>
      <w:r w:rsidRPr="009720F1">
        <w:rPr>
          <w:rFonts w:ascii="Arial" w:hAnsi="Arial" w:cs="Arial"/>
          <w:b/>
          <w:bCs/>
          <w:color w:val="000000" w:themeColor="text1"/>
          <w:sz w:val="22"/>
          <w:szCs w:val="22"/>
          <w:lang w:val="fi-FI"/>
        </w:rPr>
        <w:t xml:space="preserve"> on perustettu samana vuonna 2003. Ne molemmat menestyvät. Jalkapallojoukkue juhli lokakuun lopussa toista peräkkäistä Ruotsin-mestaruuttaan. Sen kotikenttä Linköping </w:t>
      </w:r>
      <w:proofErr w:type="spellStart"/>
      <w:r w:rsidRPr="009720F1">
        <w:rPr>
          <w:rFonts w:ascii="Arial" w:hAnsi="Arial" w:cs="Arial"/>
          <w:b/>
          <w:bCs/>
          <w:color w:val="000000" w:themeColor="text1"/>
          <w:sz w:val="22"/>
          <w:szCs w:val="22"/>
          <w:lang w:val="fi-FI"/>
        </w:rPr>
        <w:t>Arena</w:t>
      </w:r>
      <w:proofErr w:type="spellEnd"/>
      <w:r w:rsidRPr="009720F1">
        <w:rPr>
          <w:rFonts w:ascii="Arial" w:hAnsi="Arial" w:cs="Arial"/>
          <w:b/>
          <w:bCs/>
          <w:color w:val="000000" w:themeColor="text1"/>
          <w:sz w:val="22"/>
          <w:szCs w:val="22"/>
          <w:lang w:val="fi-FI"/>
        </w:rPr>
        <w:t xml:space="preserve"> kehittyy </w:t>
      </w:r>
      <w:proofErr w:type="spellStart"/>
      <w:r w:rsidRPr="009720F1">
        <w:rPr>
          <w:rFonts w:ascii="Arial" w:hAnsi="Arial" w:cs="Arial"/>
          <w:b/>
          <w:bCs/>
          <w:color w:val="000000" w:themeColor="text1"/>
          <w:sz w:val="22"/>
          <w:szCs w:val="22"/>
          <w:lang w:val="fi-FI"/>
        </w:rPr>
        <w:t>Botryggin</w:t>
      </w:r>
      <w:proofErr w:type="spellEnd"/>
      <w:r w:rsidRPr="009720F1">
        <w:rPr>
          <w:rFonts w:ascii="Arial" w:hAnsi="Arial" w:cs="Arial"/>
          <w:b/>
          <w:bCs/>
          <w:color w:val="000000" w:themeColor="text1"/>
          <w:sz w:val="22"/>
          <w:szCs w:val="22"/>
          <w:lang w:val="fi-FI"/>
        </w:rPr>
        <w:t xml:space="preserve"> omistuksessa ja hallinnassa. </w:t>
      </w:r>
      <w:r w:rsidRPr="009720F1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Pr="009720F1">
        <w:rPr>
          <w:rFonts w:ascii="Arial" w:hAnsi="Arial" w:cs="Arial"/>
          <w:color w:val="000000" w:themeColor="text1"/>
          <w:sz w:val="22"/>
          <w:szCs w:val="22"/>
          <w:lang w:val="fi-FI"/>
        </w:rPr>
        <w:br/>
      </w:r>
      <w:r w:rsidRPr="009720F1">
        <w:rPr>
          <w:rFonts w:ascii="Arial" w:hAnsi="Arial" w:cs="Arial"/>
          <w:b/>
          <w:bCs/>
          <w:color w:val="000000" w:themeColor="text1"/>
          <w:sz w:val="22"/>
          <w:szCs w:val="22"/>
          <w:lang w:val="fi-FI"/>
        </w:rPr>
        <w:t xml:space="preserve">– Kun kaksi pohjoistornia valmistuu, areenasta tulee täydellinen, kertoo </w:t>
      </w:r>
      <w:proofErr w:type="spellStart"/>
      <w:r w:rsidRPr="009720F1">
        <w:rPr>
          <w:rFonts w:ascii="Arial" w:hAnsi="Arial" w:cs="Arial"/>
          <w:b/>
          <w:bCs/>
          <w:color w:val="000000" w:themeColor="text1"/>
          <w:sz w:val="22"/>
          <w:szCs w:val="22"/>
          <w:lang w:val="fi-FI"/>
        </w:rPr>
        <w:t>Botryggin</w:t>
      </w:r>
      <w:proofErr w:type="spellEnd"/>
      <w:r w:rsidRPr="009720F1">
        <w:rPr>
          <w:rFonts w:ascii="Arial" w:hAnsi="Arial" w:cs="Arial"/>
          <w:b/>
          <w:bCs/>
          <w:color w:val="000000" w:themeColor="text1"/>
          <w:sz w:val="22"/>
          <w:szCs w:val="22"/>
          <w:lang w:val="fi-FI"/>
        </w:rPr>
        <w:t xml:space="preserve"> ostopäällikkö Simon Lönn. </w:t>
      </w:r>
      <w:r w:rsidRPr="009720F1">
        <w:rPr>
          <w:rFonts w:ascii="Arial" w:hAnsi="Arial" w:cs="Arial"/>
          <w:b/>
          <w:bCs/>
          <w:color w:val="000000" w:themeColor="text1"/>
          <w:sz w:val="22"/>
          <w:szCs w:val="22"/>
          <w:lang w:val="fi-FI"/>
        </w:rPr>
        <w:br/>
      </w:r>
      <w:r w:rsidRPr="009720F1">
        <w:rPr>
          <w:rFonts w:ascii="Arial" w:hAnsi="Arial" w:cs="Arial"/>
          <w:b/>
          <w:bCs/>
          <w:color w:val="000000" w:themeColor="text1"/>
          <w:sz w:val="22"/>
          <w:szCs w:val="22"/>
          <w:lang w:val="fi-FI"/>
        </w:rPr>
        <w:br/>
      </w:r>
      <w:r w:rsidRPr="009720F1">
        <w:rPr>
          <w:rFonts w:ascii="Arial" w:hAnsi="Arial" w:cs="Arial"/>
          <w:sz w:val="22"/>
          <w:szCs w:val="22"/>
          <w:lang w:val="fi-FI"/>
        </w:rPr>
        <w:t xml:space="preserve">Yrityksen historia alkoi vuonna 1981, kun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Fastighetsbolaget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Duvkullen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 HB i Linköping perustettiin. Vuonna 2003 se muuttui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Botrygg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 AB:ksi ja lähti kasvamaan. Tavoitteena oli ja on edelleen rakentaa, omistaa ja hallita Ruotsin kasvukeskuk</w:t>
      </w:r>
      <w:r w:rsidR="009720F1">
        <w:rPr>
          <w:rFonts w:ascii="Arial" w:hAnsi="Arial" w:cs="Arial"/>
          <w:sz w:val="22"/>
          <w:szCs w:val="22"/>
          <w:lang w:val="fi-FI"/>
        </w:rPr>
        <w:t>sissa sijaitsevia kiinteistöjä.</w:t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Pr="009720F1">
        <w:rPr>
          <w:rFonts w:ascii="Arial" w:hAnsi="Arial" w:cs="Arial"/>
          <w:sz w:val="22"/>
          <w:szCs w:val="22"/>
          <w:lang w:val="fi-FI"/>
        </w:rPr>
        <w:t xml:space="preserve">Nykyään yritys hallitsee noin 3 000 asuntoa Linköpingissä, Norrköping, Örebrossa, Tukholmassa ja Göteborgissa. Yrityksen omistamien asuntojen määrä kasvaa noin 500:lla joka vuosi. Uppsala on uusi kiinnostava alue. Strategiana on rakentaa itselleen. </w:t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Pr="009720F1">
        <w:rPr>
          <w:rFonts w:ascii="Arial" w:hAnsi="Arial" w:cs="Arial"/>
          <w:sz w:val="22"/>
          <w:szCs w:val="22"/>
          <w:lang w:val="fi-FI"/>
        </w:rPr>
        <w:t xml:space="preserve">– Olemme oma urakoitsijamme. Syy on yksinkertainen. Haluamme hallita kustannuksia ja laatua koko ketjussa, kertoo Simon Lönn. </w:t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="009720F1">
        <w:rPr>
          <w:rFonts w:ascii="Arial" w:hAnsi="Arial" w:cs="Arial"/>
          <w:b/>
          <w:bCs/>
          <w:sz w:val="22"/>
          <w:szCs w:val="22"/>
          <w:lang w:val="fi-FI"/>
        </w:rPr>
        <w:t>Profi</w:t>
      </w:r>
      <w:r w:rsidRPr="009720F1">
        <w:rPr>
          <w:rFonts w:ascii="Arial" w:hAnsi="Arial" w:cs="Arial"/>
          <w:b/>
          <w:bCs/>
          <w:sz w:val="22"/>
          <w:szCs w:val="22"/>
          <w:lang w:val="fi-FI"/>
        </w:rPr>
        <w:t xml:space="preserve">loiva projekti </w:t>
      </w:r>
      <w:r w:rsidRPr="009720F1">
        <w:rPr>
          <w:rFonts w:ascii="Arial" w:hAnsi="Arial" w:cs="Arial"/>
          <w:sz w:val="22"/>
          <w:szCs w:val="22"/>
          <w:lang w:val="fi-FI"/>
        </w:rPr>
        <w:br/>
      </w:r>
      <w:proofErr w:type="gramStart"/>
      <w:r w:rsidRPr="009720F1">
        <w:rPr>
          <w:rFonts w:ascii="Arial" w:hAnsi="Arial" w:cs="Arial"/>
          <w:sz w:val="22"/>
          <w:szCs w:val="22"/>
          <w:lang w:val="fi-FI"/>
        </w:rPr>
        <w:t>Toukokuussa</w:t>
      </w:r>
      <w:proofErr w:type="gramEnd"/>
      <w:r w:rsidRPr="009720F1">
        <w:rPr>
          <w:rFonts w:ascii="Arial" w:hAnsi="Arial" w:cs="Arial"/>
          <w:sz w:val="22"/>
          <w:szCs w:val="22"/>
          <w:lang w:val="fi-FI"/>
        </w:rPr>
        <w:t xml:space="preserve"> 2013 käyttöön otettu Linköping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Arena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 on yksi projekteista, joista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Botrygg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 tunnetaan parhaiten. Se korvaa kuluneen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Folkungavallenin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, joka puretaan. Sen tilalle rakennetaan 700–900 asuntoa. Linköpingin kunta ja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Botrygg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 päätyivät suuren areenarakennuksen osalta ratkaisuun, jossa kunta vuokraa sen 25 vuodeksi sovitulla summalla. </w:t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="009720F1">
        <w:rPr>
          <w:rFonts w:ascii="Arial" w:hAnsi="Arial" w:cs="Arial"/>
          <w:sz w:val="22"/>
          <w:szCs w:val="22"/>
          <w:lang w:val="fi-FI"/>
        </w:rPr>
        <w:br/>
        <w:t xml:space="preserve">Tämän jälkeen Linköping </w:t>
      </w:r>
      <w:proofErr w:type="spellStart"/>
      <w:r w:rsidR="009720F1">
        <w:rPr>
          <w:rFonts w:ascii="Arial" w:hAnsi="Arial" w:cs="Arial"/>
          <w:sz w:val="22"/>
          <w:szCs w:val="22"/>
          <w:lang w:val="fi-FI"/>
        </w:rPr>
        <w:t>Arena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 on laajennettu kahdella kahdeksankerroksisella etelätornilla, joissa toimii koulu ja sijaitsee asuntoja. Kahta pohjoistornia rakennetaan parhaillaan. Yhdessä on kahdeksan ja toisessa 14 kerrosta. Niihin tulee 230 asuntoa. </w:t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Pr="009720F1">
        <w:rPr>
          <w:rFonts w:ascii="Arial" w:hAnsi="Arial" w:cs="Arial"/>
          <w:sz w:val="22"/>
          <w:szCs w:val="22"/>
          <w:lang w:val="fi-FI"/>
        </w:rPr>
        <w:t xml:space="preserve">– Kunta vuokraa matalamman tornin. Se valmistuu joulukuussa. Ensi syksyllä valmistuva toinen torni vuokrataan ulkopuoliselle toimijalle. </w:t>
      </w:r>
    </w:p>
    <w:p w14:paraId="0FC58BF9" w14:textId="77777777" w:rsidR="00677AAD" w:rsidRPr="009720F1" w:rsidRDefault="00677AAD" w:rsidP="00677AA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  <w:lang w:val="fi-FI"/>
        </w:rPr>
      </w:pPr>
      <w:r w:rsidRPr="009720F1">
        <w:rPr>
          <w:rFonts w:ascii="Arial" w:hAnsi="Arial" w:cs="Arial"/>
          <w:b/>
          <w:bCs/>
          <w:sz w:val="22"/>
          <w:szCs w:val="22"/>
          <w:lang w:val="fi-FI"/>
        </w:rPr>
        <w:t xml:space="preserve">Kaikki saivat testata </w:t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Pr="009720F1">
        <w:rPr>
          <w:rFonts w:ascii="Arial" w:hAnsi="Arial" w:cs="Arial"/>
          <w:sz w:val="22"/>
          <w:szCs w:val="22"/>
          <w:lang w:val="fi-FI"/>
        </w:rPr>
        <w:t xml:space="preserve">Suurien kohteiden rakentaminen tehokkaasti ja menestyksekkäästi on tuttua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Botryggille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. Kaksi työn alla olevaa rakennusta ovat kuitenkin hieman erilaisia. </w:t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Pr="009720F1">
        <w:rPr>
          <w:rFonts w:ascii="Arial" w:hAnsi="Arial" w:cs="Arial"/>
          <w:sz w:val="22"/>
          <w:szCs w:val="22"/>
          <w:lang w:val="fi-FI"/>
        </w:rPr>
        <w:t>– Pidämme huolta henkilöstön työympäristöstä. Yhteistyökumppanimme XL-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BYGG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 Linköpingistä kertoi, että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Knauf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Insulationin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 eriste kutittaa ja pölyää vähemmän, sanoo Simon Lönn. </w:t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Pr="009720F1">
        <w:rPr>
          <w:rFonts w:ascii="Arial" w:hAnsi="Arial" w:cs="Arial"/>
          <w:sz w:val="22"/>
          <w:szCs w:val="22"/>
          <w:lang w:val="fi-FI"/>
        </w:rPr>
        <w:t xml:space="preserve">Siksi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Botrygg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 tilasi sitä kokeeksi lavallisen. Työmaapäälliköt, työnjohtajat ja rakentajat saivat tunnustella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EcoBatt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-eristettä ja kokeilla sen käyttämistä yhdessä seinässä. </w:t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Pr="009720F1">
        <w:rPr>
          <w:rFonts w:ascii="Arial" w:hAnsi="Arial" w:cs="Arial"/>
          <w:b/>
          <w:bCs/>
          <w:sz w:val="22"/>
          <w:szCs w:val="22"/>
          <w:lang w:val="fi-FI"/>
        </w:rPr>
        <w:t xml:space="preserve">Täysin tyytyväinen </w:t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Pr="009720F1">
        <w:rPr>
          <w:rFonts w:ascii="Arial" w:hAnsi="Arial" w:cs="Arial"/>
          <w:sz w:val="22"/>
          <w:szCs w:val="22"/>
          <w:lang w:val="fi-FI"/>
        </w:rPr>
        <w:t xml:space="preserve">– Kyllä, sitä me olemme. Kokeilemisen jälkeen valitsimme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Knauf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Insulationin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, mutta tietysti hinnan ja laadun piti olla kohdallaan. Lisäksi halusimme suorat toimitukset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Knauf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Insulationin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 keskusvarastosta laatimamme suunnitelman mukaisesti, kertoo Simon Lönn. </w:t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Pr="009720F1">
        <w:rPr>
          <w:rFonts w:ascii="Arial" w:hAnsi="Arial" w:cs="Arial"/>
          <w:sz w:val="22"/>
          <w:szCs w:val="22"/>
          <w:lang w:val="fi-FI"/>
        </w:rPr>
        <w:lastRenderedPageBreak/>
        <w:t xml:space="preserve">Eristettä on toimitettu useita kuorma-autollisia. Kahdessa tornissa tarvitaan yhteensä 32 000 neliömetriä eristettä. Paksuudet vaihtelevat 45:stä 195 millimetriin. </w:t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="009720F1">
        <w:rPr>
          <w:rFonts w:ascii="Arial" w:hAnsi="Arial" w:cs="Arial"/>
          <w:sz w:val="22"/>
          <w:szCs w:val="22"/>
          <w:lang w:val="fi-FI"/>
        </w:rPr>
        <w:br/>
      </w:r>
      <w:r w:rsidRPr="009720F1">
        <w:rPr>
          <w:rFonts w:ascii="Arial" w:hAnsi="Arial" w:cs="Arial"/>
          <w:sz w:val="22"/>
          <w:szCs w:val="22"/>
          <w:lang w:val="fi-FI"/>
        </w:rPr>
        <w:t xml:space="preserve">– Olemme täysin tyytyväisiä! Arvioimme tietysti jokaisen uuden projektin erikseen, mutta uskon, että kaikkien valinta on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Knauf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 </w:t>
      </w:r>
      <w:proofErr w:type="spellStart"/>
      <w:r w:rsidRPr="009720F1">
        <w:rPr>
          <w:rFonts w:ascii="Arial" w:hAnsi="Arial" w:cs="Arial"/>
          <w:sz w:val="22"/>
          <w:szCs w:val="22"/>
          <w:lang w:val="fi-FI"/>
        </w:rPr>
        <w:t>Insulation</w:t>
      </w:r>
      <w:proofErr w:type="spellEnd"/>
      <w:r w:rsidRPr="009720F1">
        <w:rPr>
          <w:rFonts w:ascii="Arial" w:hAnsi="Arial" w:cs="Arial"/>
          <w:sz w:val="22"/>
          <w:szCs w:val="22"/>
          <w:lang w:val="fi-FI"/>
        </w:rPr>
        <w:t xml:space="preserve">. </w:t>
      </w:r>
    </w:p>
    <w:p w14:paraId="28979BE3" w14:textId="77777777" w:rsidR="00677AAD" w:rsidRPr="009720F1" w:rsidRDefault="00677AAD" w:rsidP="00677AA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00000" w:themeColor="text1"/>
          <w:sz w:val="22"/>
          <w:szCs w:val="22"/>
          <w:lang w:val="fi-FI"/>
        </w:rPr>
      </w:pPr>
      <w:r w:rsidRPr="009720F1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val="fi-FI"/>
        </w:rPr>
        <w:t>Lisätietoja</w:t>
      </w:r>
      <w:r w:rsidRPr="009720F1">
        <w:rPr>
          <w:rFonts w:ascii="Arial" w:hAnsi="Arial" w:cs="Arial"/>
          <w:b/>
          <w:color w:val="000000" w:themeColor="text1"/>
          <w:sz w:val="22"/>
          <w:szCs w:val="22"/>
          <w:lang w:val="fi-FI"/>
        </w:rPr>
        <w:t>:</w:t>
      </w:r>
      <w:r w:rsidRPr="009720F1">
        <w:rPr>
          <w:rFonts w:ascii="Arial" w:eastAsia="PMingLiU" w:hAnsi="Arial" w:cs="Arial"/>
          <w:color w:val="000000" w:themeColor="text1"/>
          <w:sz w:val="22"/>
          <w:szCs w:val="22"/>
          <w:lang w:val="fi-FI"/>
        </w:rPr>
        <w:br/>
      </w:r>
      <w:r w:rsidRPr="009720F1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Peter</w:t>
      </w:r>
      <w:r w:rsidRPr="009720F1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9720F1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Isacsson</w:t>
      </w:r>
      <w:proofErr w:type="spellEnd"/>
      <w:r w:rsidRPr="009720F1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9720F1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Nordic</w:t>
      </w:r>
      <w:r w:rsidRPr="009720F1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9720F1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General</w:t>
      </w:r>
      <w:r w:rsidRPr="009720F1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9720F1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Manager</w:t>
      </w:r>
      <w:proofErr w:type="spellEnd"/>
      <w:r w:rsidRPr="009720F1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| +46 (0)706 45 00 06</w:t>
      </w:r>
      <w:r w:rsidRPr="009720F1">
        <w:rPr>
          <w:rFonts w:ascii="Arial" w:eastAsia="PMingLiU" w:hAnsi="Arial" w:cs="Arial"/>
          <w:color w:val="000000" w:themeColor="text1"/>
          <w:sz w:val="22"/>
          <w:szCs w:val="22"/>
          <w:lang w:val="fi-FI"/>
        </w:rPr>
        <w:br/>
      </w:r>
      <w:r w:rsidRPr="009720F1">
        <w:rPr>
          <w:rFonts w:ascii="Arial" w:eastAsia="Calibri" w:hAnsi="Arial" w:cs="Arial"/>
          <w:bCs/>
          <w:color w:val="000000" w:themeColor="text1"/>
          <w:sz w:val="22"/>
          <w:szCs w:val="22"/>
          <w:lang w:val="fi-FI"/>
        </w:rPr>
        <w:t>Fredrik</w:t>
      </w:r>
      <w:r w:rsidRPr="009720F1">
        <w:rPr>
          <w:rFonts w:ascii="Arial" w:hAnsi="Arial" w:cs="Arial"/>
          <w:bCs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9720F1">
        <w:rPr>
          <w:rFonts w:ascii="Arial" w:eastAsia="Calibri" w:hAnsi="Arial" w:cs="Arial"/>
          <w:bCs/>
          <w:color w:val="000000" w:themeColor="text1"/>
          <w:sz w:val="22"/>
          <w:szCs w:val="22"/>
          <w:lang w:val="fi-FI"/>
        </w:rPr>
        <w:t>Stengarn</w:t>
      </w:r>
      <w:proofErr w:type="spellEnd"/>
      <w:r w:rsidRPr="009720F1">
        <w:rPr>
          <w:rFonts w:ascii="Arial" w:hAnsi="Arial" w:cs="Arial"/>
          <w:bCs/>
          <w:color w:val="000000" w:themeColor="text1"/>
          <w:sz w:val="22"/>
          <w:szCs w:val="22"/>
          <w:lang w:val="fi-FI"/>
        </w:rPr>
        <w:t xml:space="preserve">, </w:t>
      </w:r>
      <w:r w:rsidRPr="009720F1">
        <w:rPr>
          <w:rFonts w:ascii="Arial" w:eastAsia="Calibri" w:hAnsi="Arial" w:cs="Arial"/>
          <w:bCs/>
          <w:color w:val="000000" w:themeColor="text1"/>
          <w:sz w:val="22"/>
          <w:szCs w:val="22"/>
          <w:lang w:val="fi-FI"/>
        </w:rPr>
        <w:t>Press</w:t>
      </w:r>
      <w:r w:rsidRPr="009720F1">
        <w:rPr>
          <w:rFonts w:ascii="Arial" w:hAnsi="Arial" w:cs="Arial"/>
          <w:bCs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9720F1">
        <w:rPr>
          <w:rFonts w:ascii="Arial" w:eastAsia="Calibri" w:hAnsi="Arial" w:cs="Arial"/>
          <w:bCs/>
          <w:color w:val="000000" w:themeColor="text1"/>
          <w:sz w:val="22"/>
          <w:szCs w:val="22"/>
          <w:lang w:val="fi-FI"/>
        </w:rPr>
        <w:t>Officer</w:t>
      </w:r>
      <w:proofErr w:type="spellEnd"/>
      <w:r w:rsidRPr="009720F1">
        <w:rPr>
          <w:rFonts w:ascii="Arial" w:hAnsi="Arial" w:cs="Arial"/>
          <w:bCs/>
          <w:color w:val="000000" w:themeColor="text1"/>
          <w:sz w:val="22"/>
          <w:szCs w:val="22"/>
          <w:lang w:val="fi-FI"/>
        </w:rPr>
        <w:t xml:space="preserve"> | +46 (0)735 23 23 32</w:t>
      </w:r>
      <w:r w:rsidRPr="009720F1">
        <w:rPr>
          <w:rFonts w:ascii="Arial" w:eastAsia="PMingLiU" w:hAnsi="Arial" w:cs="Arial"/>
          <w:color w:val="000000" w:themeColor="text1"/>
          <w:sz w:val="22"/>
          <w:szCs w:val="22"/>
          <w:lang w:val="fi-FI"/>
        </w:rPr>
        <w:br/>
      </w:r>
      <w:r w:rsidRPr="009720F1">
        <w:rPr>
          <w:rFonts w:ascii="Arial" w:eastAsia="Calibri" w:hAnsi="Arial" w:cs="Arial"/>
          <w:bCs/>
          <w:color w:val="000000" w:themeColor="text1"/>
          <w:sz w:val="22"/>
          <w:szCs w:val="22"/>
          <w:lang w:val="fi-FI"/>
        </w:rPr>
        <w:t>T</w:t>
      </w:r>
      <w:r w:rsidRPr="009720F1">
        <w:rPr>
          <w:rFonts w:ascii="Arial" w:eastAsia="Calibri" w:hAnsi="Arial" w:cs="Arial"/>
          <w:color w:val="000000" w:themeColor="text1"/>
          <w:sz w:val="22"/>
          <w:szCs w:val="22"/>
          <w:shd w:val="clear" w:color="auto" w:fill="FFFFFF"/>
          <w:lang w:val="fi-FI" w:eastAsia="sv-SE"/>
        </w:rPr>
        <w:t>homas</w:t>
      </w:r>
      <w:r w:rsidRPr="009720F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fi-FI" w:eastAsia="sv-SE"/>
        </w:rPr>
        <w:t xml:space="preserve"> </w:t>
      </w:r>
      <w:proofErr w:type="spellStart"/>
      <w:r w:rsidRPr="009720F1">
        <w:rPr>
          <w:rFonts w:ascii="Arial" w:eastAsia="Calibri" w:hAnsi="Arial" w:cs="Arial"/>
          <w:color w:val="000000" w:themeColor="text1"/>
          <w:sz w:val="22"/>
          <w:szCs w:val="22"/>
          <w:shd w:val="clear" w:color="auto" w:fill="FFFFFF"/>
          <w:lang w:val="fi-FI" w:eastAsia="sv-SE"/>
        </w:rPr>
        <w:t>Pompe</w:t>
      </w:r>
      <w:proofErr w:type="spellEnd"/>
      <w:r w:rsidRPr="009720F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fi-FI" w:eastAsia="sv-SE"/>
        </w:rPr>
        <w:t xml:space="preserve">, </w:t>
      </w:r>
      <w:r w:rsidRPr="009720F1">
        <w:rPr>
          <w:rFonts w:ascii="Arial" w:eastAsia="Calibri" w:hAnsi="Arial" w:cs="Arial"/>
          <w:color w:val="000000" w:themeColor="text1"/>
          <w:sz w:val="22"/>
          <w:szCs w:val="22"/>
          <w:lang w:val="fi-FI" w:eastAsia="sv-SE"/>
        </w:rPr>
        <w:t>Management</w:t>
      </w:r>
      <w:r w:rsidRPr="009720F1">
        <w:rPr>
          <w:rFonts w:ascii="Arial" w:hAnsi="Arial" w:cs="Arial"/>
          <w:color w:val="000000" w:themeColor="text1"/>
          <w:sz w:val="22"/>
          <w:szCs w:val="22"/>
          <w:lang w:val="fi-FI" w:eastAsia="sv-SE"/>
        </w:rPr>
        <w:t xml:space="preserve"> </w:t>
      </w:r>
      <w:proofErr w:type="spellStart"/>
      <w:r w:rsidRPr="009720F1">
        <w:rPr>
          <w:rFonts w:ascii="Arial" w:eastAsia="Calibri" w:hAnsi="Arial" w:cs="Arial"/>
          <w:color w:val="000000" w:themeColor="text1"/>
          <w:sz w:val="22"/>
          <w:szCs w:val="22"/>
          <w:lang w:val="fi-FI" w:eastAsia="sv-SE"/>
        </w:rPr>
        <w:t>assistent</w:t>
      </w:r>
      <w:proofErr w:type="spellEnd"/>
      <w:r w:rsidRPr="009720F1">
        <w:rPr>
          <w:rFonts w:ascii="Arial" w:hAnsi="Arial" w:cs="Arial"/>
          <w:color w:val="000000" w:themeColor="text1"/>
          <w:sz w:val="22"/>
          <w:szCs w:val="22"/>
          <w:lang w:val="fi-FI" w:eastAsia="sv-SE"/>
        </w:rPr>
        <w:t xml:space="preserve"> </w:t>
      </w:r>
      <w:r w:rsidRPr="009720F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fi-FI" w:eastAsia="sv-SE"/>
        </w:rPr>
        <w:t>| </w:t>
      </w:r>
      <w:r w:rsidRPr="009720F1">
        <w:rPr>
          <w:rFonts w:ascii="Arial" w:eastAsia="Times New Roman" w:hAnsi="Arial" w:cs="Arial"/>
          <w:color w:val="000000" w:themeColor="text1"/>
          <w:sz w:val="22"/>
          <w:szCs w:val="22"/>
          <w:lang w:val="fi-FI" w:eastAsia="sv-SE"/>
        </w:rPr>
        <w:t>+46 (0)703 35 54 43</w:t>
      </w:r>
      <w:r w:rsidRPr="009720F1">
        <w:rPr>
          <w:rFonts w:ascii="Arial" w:eastAsia="PMingLiU" w:hAnsi="Arial" w:cs="Arial"/>
          <w:color w:val="000000" w:themeColor="text1"/>
          <w:sz w:val="22"/>
          <w:szCs w:val="22"/>
          <w:lang w:val="fi-FI"/>
        </w:rPr>
        <w:br/>
      </w:r>
      <w:r w:rsidRPr="009720F1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Elin</w:t>
      </w:r>
      <w:r w:rsidRPr="009720F1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9720F1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Gustafsson</w:t>
      </w:r>
      <w:r w:rsidRPr="009720F1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, </w:t>
      </w:r>
      <w:r w:rsidRPr="009720F1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Nordic</w:t>
      </w:r>
      <w:r w:rsidRPr="009720F1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r w:rsidRPr="009720F1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Marketing</w:t>
      </w:r>
      <w:r w:rsidRPr="009720F1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</w:t>
      </w:r>
      <w:proofErr w:type="spellStart"/>
      <w:r w:rsidRPr="009720F1">
        <w:rPr>
          <w:rFonts w:ascii="Arial" w:eastAsia="Calibri" w:hAnsi="Arial" w:cs="Arial"/>
          <w:color w:val="000000" w:themeColor="text1"/>
          <w:sz w:val="22"/>
          <w:szCs w:val="22"/>
          <w:lang w:val="fi-FI"/>
        </w:rPr>
        <w:t>Coordinator</w:t>
      </w:r>
      <w:proofErr w:type="spellEnd"/>
      <w:r w:rsidRPr="009720F1">
        <w:rPr>
          <w:rFonts w:ascii="Arial" w:hAnsi="Arial" w:cs="Arial"/>
          <w:color w:val="000000" w:themeColor="text1"/>
          <w:sz w:val="22"/>
          <w:szCs w:val="22"/>
          <w:lang w:val="fi-FI"/>
        </w:rPr>
        <w:t xml:space="preserve"> | +46 (0)703 65 66 04</w:t>
      </w:r>
    </w:p>
    <w:p w14:paraId="5B44116E" w14:textId="77777777" w:rsidR="00775F66" w:rsidRPr="009720F1" w:rsidRDefault="009720F1" w:rsidP="00677AAD">
      <w:pPr>
        <w:rPr>
          <w:rFonts w:ascii="Arial" w:hAnsi="Arial" w:cs="Arial"/>
          <w:color w:val="000000" w:themeColor="text1"/>
          <w:sz w:val="22"/>
          <w:szCs w:val="22"/>
          <w:lang w:val="fi-FI"/>
        </w:rPr>
      </w:pPr>
    </w:p>
    <w:sectPr w:rsidR="00775F66" w:rsidRPr="009720F1" w:rsidSect="00A168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AD"/>
    <w:rsid w:val="0008521E"/>
    <w:rsid w:val="00677AAD"/>
    <w:rsid w:val="009720F1"/>
    <w:rsid w:val="00A1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F10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A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518</Words>
  <Characters>2751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Nilsen</dc:creator>
  <cp:keywords/>
  <dc:description/>
  <cp:lastModifiedBy>Elin Nilsen</cp:lastModifiedBy>
  <cp:revision>1</cp:revision>
  <dcterms:created xsi:type="dcterms:W3CDTF">2017-12-21T09:45:00Z</dcterms:created>
  <dcterms:modified xsi:type="dcterms:W3CDTF">2017-12-21T09:54:00Z</dcterms:modified>
</cp:coreProperties>
</file>