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456F4" w14:textId="77777777" w:rsidR="0078768E" w:rsidRPr="00EB2948" w:rsidRDefault="0078768E" w:rsidP="0078768E">
      <w:pPr>
        <w:pStyle w:val="Ingetavstnd"/>
        <w:ind w:left="5216"/>
        <w:jc w:val="right"/>
        <w:rPr>
          <w:rFonts w:ascii="Arial" w:hAnsi="Arial" w:cs="Arial"/>
        </w:rPr>
      </w:pPr>
    </w:p>
    <w:p w14:paraId="0B688857" w14:textId="77777777" w:rsidR="0078768E" w:rsidRDefault="0078768E" w:rsidP="006A6EBB">
      <w:pPr>
        <w:pStyle w:val="Ingetavstnd"/>
        <w:rPr>
          <w:rFonts w:ascii="Arial" w:hAnsi="Arial" w:cs="Arial"/>
          <w:b/>
        </w:rPr>
      </w:pPr>
    </w:p>
    <w:p w14:paraId="44431FD6" w14:textId="77777777" w:rsidR="0078768E" w:rsidRDefault="0078768E" w:rsidP="006A6EBB">
      <w:pPr>
        <w:pStyle w:val="Ingetavstnd"/>
        <w:rPr>
          <w:rFonts w:ascii="Arial" w:hAnsi="Arial" w:cs="Arial"/>
          <w:b/>
        </w:rPr>
      </w:pPr>
    </w:p>
    <w:p w14:paraId="5E29315A" w14:textId="252D8308" w:rsidR="002845AA" w:rsidRPr="0030471E" w:rsidRDefault="00EE7DDE" w:rsidP="006A6EBB">
      <w:pPr>
        <w:pStyle w:val="Ingetavstnd"/>
        <w:rPr>
          <w:rFonts w:cs="Arial"/>
          <w:b/>
        </w:rPr>
      </w:pPr>
      <w:r w:rsidRPr="0030471E">
        <w:rPr>
          <w:rFonts w:cs="Arial"/>
          <w:b/>
        </w:rPr>
        <w:t>Pressmeddelande</w:t>
      </w:r>
      <w:r w:rsidRPr="0030471E">
        <w:rPr>
          <w:rFonts w:cs="Arial"/>
          <w:b/>
        </w:rPr>
        <w:tab/>
      </w:r>
      <w:r w:rsidRPr="0030471E">
        <w:rPr>
          <w:rFonts w:cs="Arial"/>
          <w:b/>
        </w:rPr>
        <w:tab/>
      </w:r>
      <w:r w:rsidRPr="0030471E">
        <w:rPr>
          <w:rFonts w:cs="Arial"/>
          <w:b/>
        </w:rPr>
        <w:tab/>
        <w:t xml:space="preserve">                 </w:t>
      </w:r>
      <w:r w:rsidR="00203FEF" w:rsidRPr="0030471E">
        <w:rPr>
          <w:rFonts w:cs="Arial"/>
          <w:sz w:val="20"/>
        </w:rPr>
        <w:t xml:space="preserve">Stockholm </w:t>
      </w:r>
      <w:r w:rsidR="002A2AD2">
        <w:rPr>
          <w:rFonts w:cs="Arial"/>
          <w:sz w:val="20"/>
        </w:rPr>
        <w:t>9 januari 2015</w:t>
      </w:r>
    </w:p>
    <w:p w14:paraId="6D573703" w14:textId="77777777" w:rsidR="002845AA" w:rsidRPr="0030471E" w:rsidRDefault="002845AA" w:rsidP="006A6EBB">
      <w:pPr>
        <w:pStyle w:val="Ingetavstnd"/>
        <w:rPr>
          <w:rFonts w:cs="Arial"/>
          <w:b/>
        </w:rPr>
      </w:pPr>
    </w:p>
    <w:p w14:paraId="45E66ED1" w14:textId="77777777" w:rsidR="0009174F" w:rsidRPr="0030471E" w:rsidRDefault="0009174F" w:rsidP="006A6EBB">
      <w:pPr>
        <w:pStyle w:val="Ingetavstnd"/>
        <w:rPr>
          <w:rFonts w:cs="Arial"/>
          <w:b/>
        </w:rPr>
      </w:pPr>
    </w:p>
    <w:p w14:paraId="611F18DF" w14:textId="3F09CF75" w:rsidR="002A2AD2" w:rsidRPr="002A2AD2" w:rsidRDefault="002A2AD2" w:rsidP="002A2AD2">
      <w:pPr>
        <w:rPr>
          <w:rFonts w:asciiTheme="minorHAnsi" w:hAnsiTheme="minorHAnsi" w:cstheme="minorHAnsi"/>
          <w:sz w:val="40"/>
          <w:szCs w:val="40"/>
        </w:rPr>
      </w:pPr>
      <w:r w:rsidRPr="002A2AD2">
        <w:rPr>
          <w:rFonts w:asciiTheme="minorHAnsi" w:hAnsiTheme="minorHAnsi" w:cstheme="minorHAnsi"/>
          <w:b/>
          <w:bCs/>
          <w:sz w:val="40"/>
          <w:szCs w:val="40"/>
        </w:rPr>
        <w:t>Fortsatt stark bostadsmarknad 2015</w:t>
      </w:r>
    </w:p>
    <w:p w14:paraId="21081D90" w14:textId="72271A0B" w:rsidR="0030471E" w:rsidRPr="0030471E" w:rsidRDefault="0030471E" w:rsidP="0030471E">
      <w:pPr>
        <w:rPr>
          <w:rFonts w:asciiTheme="minorHAnsi" w:eastAsiaTheme="minorHAnsi" w:hAnsiTheme="minorHAnsi"/>
          <w:color w:val="000000"/>
          <w:sz w:val="22"/>
          <w:szCs w:val="22"/>
        </w:rPr>
      </w:pPr>
    </w:p>
    <w:p w14:paraId="03AEAEC6" w14:textId="56FB612F" w:rsidR="002A2AD2" w:rsidRPr="002F4DC3" w:rsidRDefault="002A2AD2" w:rsidP="002A2AD2">
      <w:pPr>
        <w:rPr>
          <w:rFonts w:asciiTheme="minorHAnsi" w:hAnsiTheme="minorHAnsi"/>
          <w:color w:val="000000"/>
        </w:rPr>
      </w:pPr>
      <w:bookmarkStart w:id="0" w:name="_GoBack"/>
      <w:bookmarkEnd w:id="0"/>
      <w:r w:rsidRPr="002F4DC3">
        <w:rPr>
          <w:rFonts w:asciiTheme="minorHAnsi" w:hAnsiTheme="minorHAnsi" w:cstheme="minorHAnsi"/>
          <w:b/>
          <w:bCs/>
          <w:sz w:val="22"/>
          <w:szCs w:val="22"/>
        </w:rPr>
        <w:t>Bostadspriserna fortsätter att stiga under 2015, enligt en majoritet av storstadsmäklarna. Endast var tionde tror på en nedgång. Det visar Bjurfors mäklarbarometer som tagit tempen på mäklarnas förväntningar på 2015.</w:t>
      </w:r>
    </w:p>
    <w:p w14:paraId="5F739BEC"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w:t>
      </w:r>
    </w:p>
    <w:p w14:paraId="71319D33"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Enligt undersökningen säger 60 procent av mäklarna att priserna kommer att gå upp under 2015. Var tionde tror på en större uppgång på mer än 5 procent medan varannan tror på en mindre uppgång. Nio procent tror på sjunkande priser. Mest optimistiska är mäklare i Göteborg där sju av tio tror på stigande priser.</w:t>
      </w:r>
    </w:p>
    <w:p w14:paraId="1768A005"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w:t>
      </w:r>
    </w:p>
    <w:p w14:paraId="23CFA846" w14:textId="5404DB79" w:rsidR="002A2AD2" w:rsidRPr="002F4DC3" w:rsidRDefault="002A2AD2" w:rsidP="002A2AD2">
      <w:pPr>
        <w:ind w:left="720" w:hanging="360"/>
        <w:contextualSpacing/>
        <w:rPr>
          <w:rFonts w:asciiTheme="minorHAnsi" w:hAnsiTheme="minorHAnsi" w:cstheme="minorHAnsi"/>
          <w:sz w:val="22"/>
          <w:szCs w:val="22"/>
        </w:rPr>
      </w:pPr>
      <w:proofErr w:type="gramStart"/>
      <w:r w:rsidRPr="002F4DC3">
        <w:rPr>
          <w:rFonts w:asciiTheme="minorHAnsi" w:hAnsiTheme="minorHAnsi" w:cstheme="minorHAnsi"/>
          <w:sz w:val="22"/>
          <w:szCs w:val="22"/>
        </w:rPr>
        <w:t>-      Fortsatt</w:t>
      </w:r>
      <w:proofErr w:type="gramEnd"/>
      <w:r w:rsidRPr="002F4DC3">
        <w:rPr>
          <w:rFonts w:asciiTheme="minorHAnsi" w:hAnsiTheme="minorHAnsi" w:cstheme="minorHAnsi"/>
          <w:sz w:val="22"/>
          <w:szCs w:val="22"/>
        </w:rPr>
        <w:t xml:space="preserve"> låg ränta med förväntningar om låga räntor även framöver tillsammans med en större efterfrågan än utbud gör att marknaden fortsättningsvis kommer att vara stark i storstadsregionerna under 2015, kommenterar Pontus Kopparberg, vd på Bjurfors Stockholm. </w:t>
      </w:r>
    </w:p>
    <w:p w14:paraId="707751B4"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w:t>
      </w:r>
    </w:p>
    <w:p w14:paraId="2C866326"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xml:space="preserve">Trots debatten om amorteringskravet är det få mäklare som ännu sett några effekter. Ändå anser en majoritet att marknaden kommer att påverkas. Framförallt tror mäklarna att köparna kommer att bli mer försiktiga, vilket bekräftas av de mäklare som uppger att de redan märkt av en effekt. Dock är det få som hittills sett eller tror att amorteringskravet kommer innebära sjunkande priser framöver. </w:t>
      </w:r>
    </w:p>
    <w:p w14:paraId="3A966CEA" w14:textId="77777777" w:rsidR="002A2AD2" w:rsidRPr="002F4DC3" w:rsidRDefault="002A2AD2" w:rsidP="002A2AD2">
      <w:pPr>
        <w:ind w:left="720"/>
        <w:contextualSpacing/>
        <w:rPr>
          <w:rFonts w:asciiTheme="minorHAnsi" w:hAnsiTheme="minorHAnsi" w:cstheme="minorHAnsi"/>
          <w:sz w:val="22"/>
          <w:szCs w:val="22"/>
        </w:rPr>
      </w:pPr>
      <w:r w:rsidRPr="002F4DC3">
        <w:rPr>
          <w:rFonts w:asciiTheme="minorHAnsi" w:hAnsiTheme="minorHAnsi" w:cstheme="minorHAnsi"/>
          <w:sz w:val="22"/>
          <w:szCs w:val="22"/>
        </w:rPr>
        <w:t> </w:t>
      </w:r>
    </w:p>
    <w:p w14:paraId="37DD2B1E" w14:textId="7580DF84" w:rsidR="002A2AD2" w:rsidRPr="002F4DC3" w:rsidRDefault="002A2AD2" w:rsidP="002A2AD2">
      <w:pPr>
        <w:ind w:left="720" w:hanging="360"/>
        <w:contextualSpacing/>
        <w:rPr>
          <w:rFonts w:asciiTheme="minorHAnsi" w:hAnsiTheme="minorHAnsi" w:cstheme="minorHAnsi"/>
          <w:sz w:val="22"/>
          <w:szCs w:val="22"/>
        </w:rPr>
      </w:pPr>
      <w:proofErr w:type="gramStart"/>
      <w:r w:rsidRPr="002F4DC3">
        <w:rPr>
          <w:rFonts w:asciiTheme="minorHAnsi" w:hAnsiTheme="minorHAnsi" w:cstheme="minorHAnsi"/>
          <w:sz w:val="22"/>
          <w:szCs w:val="22"/>
        </w:rPr>
        <w:t>-     </w:t>
      </w:r>
      <w:r w:rsidR="002F4DC3">
        <w:rPr>
          <w:rFonts w:asciiTheme="minorHAnsi" w:hAnsiTheme="minorHAnsi" w:cstheme="minorHAnsi"/>
          <w:sz w:val="22"/>
          <w:szCs w:val="22"/>
        </w:rPr>
        <w:t xml:space="preserve"> </w:t>
      </w:r>
      <w:r w:rsidRPr="002F4DC3">
        <w:rPr>
          <w:rFonts w:asciiTheme="minorHAnsi" w:hAnsiTheme="minorHAnsi" w:cstheme="minorHAnsi"/>
          <w:sz w:val="22"/>
          <w:szCs w:val="22"/>
        </w:rPr>
        <w:t>Amorteringskravet</w:t>
      </w:r>
      <w:proofErr w:type="gramEnd"/>
      <w:r w:rsidRPr="002F4DC3">
        <w:rPr>
          <w:rFonts w:asciiTheme="minorHAnsi" w:hAnsiTheme="minorHAnsi" w:cstheme="minorHAnsi"/>
          <w:sz w:val="22"/>
          <w:szCs w:val="22"/>
        </w:rPr>
        <w:t xml:space="preserve"> riskerar att öka osäkerheten och minska utbudet, dels för att köpare inte vet vad det innebär och dels för att det medför extra kostnader för många som tar nya lån.  Men på grund av en fortsatt stark efterfrågan och låga räntor är vår bedömning att priserna inte kommer att påverkas negativt av kravet, kommenterar xxx på Bjurfors. </w:t>
      </w:r>
    </w:p>
    <w:p w14:paraId="3ACBFD22"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w:t>
      </w:r>
    </w:p>
    <w:p w14:paraId="3EBAD605"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b/>
          <w:bCs/>
          <w:sz w:val="22"/>
          <w:szCs w:val="22"/>
        </w:rPr>
        <w:t>Fakta från Bjurfors Mäklarbarometer:</w:t>
      </w:r>
    </w:p>
    <w:p w14:paraId="20B16166" w14:textId="705ADECC"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60 procent tror på stigande priser under 2015</w:t>
      </w:r>
    </w:p>
    <w:p w14:paraId="4FF248E4" w14:textId="1C8C630B"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31 procent tror på oförändrade priser under 2015</w:t>
      </w:r>
    </w:p>
    <w:p w14:paraId="1CE32D92" w14:textId="3D4383D7"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9 procent tror på sjunkande priser under 2015</w:t>
      </w:r>
    </w:p>
    <w:p w14:paraId="5257EC3D" w14:textId="750C725E"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71 procent anser att amorteringskravet inte påverkat marknaden ännu, 29 procent anser att det gjort det</w:t>
      </w:r>
    </w:p>
    <w:p w14:paraId="120ED4D4" w14:textId="332A718C"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76 procent tror att amorteringskravet får köparna mer försiktiga framöver, 38 procent tror att säljarna blir mer försiktiga</w:t>
      </w:r>
    </w:p>
    <w:p w14:paraId="5E07755F" w14:textId="735FBE14" w:rsidR="002A2AD2" w:rsidRPr="002F4DC3" w:rsidRDefault="002A2AD2" w:rsidP="002F4DC3">
      <w:pPr>
        <w:pStyle w:val="Liststycke"/>
        <w:numPr>
          <w:ilvl w:val="0"/>
          <w:numId w:val="8"/>
        </w:numPr>
        <w:rPr>
          <w:rFonts w:asciiTheme="minorHAnsi" w:hAnsiTheme="minorHAnsi" w:cstheme="minorHAnsi"/>
          <w:sz w:val="22"/>
          <w:szCs w:val="22"/>
        </w:rPr>
      </w:pPr>
      <w:r w:rsidRPr="002F4DC3">
        <w:rPr>
          <w:rFonts w:asciiTheme="minorHAnsi" w:hAnsiTheme="minorHAnsi" w:cstheme="minorHAnsi"/>
          <w:sz w:val="22"/>
          <w:szCs w:val="22"/>
        </w:rPr>
        <w:t>21 procent tror att amorteringskravet innebär sjunkande priser, 68 procent tror att priserna inte påverkas</w:t>
      </w:r>
    </w:p>
    <w:p w14:paraId="5F2EABBB" w14:textId="77777777" w:rsidR="002A2AD2" w:rsidRPr="002F4DC3" w:rsidRDefault="002A2AD2" w:rsidP="002A2AD2">
      <w:pPr>
        <w:ind w:left="720"/>
        <w:contextualSpacing/>
        <w:rPr>
          <w:rFonts w:asciiTheme="minorHAnsi" w:hAnsiTheme="minorHAnsi" w:cstheme="minorHAnsi"/>
          <w:sz w:val="22"/>
          <w:szCs w:val="22"/>
        </w:rPr>
      </w:pPr>
      <w:r w:rsidRPr="002F4DC3">
        <w:rPr>
          <w:rFonts w:asciiTheme="minorHAnsi" w:hAnsiTheme="minorHAnsi" w:cstheme="minorHAnsi"/>
          <w:sz w:val="22"/>
          <w:szCs w:val="22"/>
        </w:rPr>
        <w:t> </w:t>
      </w:r>
    </w:p>
    <w:p w14:paraId="1C7F0631"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xml:space="preserve">För ytterligare information kontakta: </w:t>
      </w:r>
    </w:p>
    <w:p w14:paraId="501D56CC"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xml:space="preserve">Pontus Kopparberg, VD på Bjurfors Stockholm, </w:t>
      </w:r>
      <w:proofErr w:type="spellStart"/>
      <w:r w:rsidRPr="002F4DC3">
        <w:rPr>
          <w:rFonts w:asciiTheme="minorHAnsi" w:hAnsiTheme="minorHAnsi" w:cstheme="minorHAnsi"/>
          <w:sz w:val="22"/>
          <w:szCs w:val="22"/>
        </w:rPr>
        <w:t>tel</w:t>
      </w:r>
      <w:proofErr w:type="spellEnd"/>
      <w:proofErr w:type="gramStart"/>
      <w:r w:rsidRPr="002F4DC3">
        <w:rPr>
          <w:rFonts w:asciiTheme="minorHAnsi" w:hAnsiTheme="minorHAnsi" w:cstheme="minorHAnsi"/>
          <w:sz w:val="22"/>
          <w:szCs w:val="22"/>
        </w:rPr>
        <w:t xml:space="preserve"> 070-9769100</w:t>
      </w:r>
      <w:proofErr w:type="gramEnd"/>
    </w:p>
    <w:p w14:paraId="1097B783"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sz w:val="22"/>
          <w:szCs w:val="22"/>
        </w:rPr>
        <w:t> </w:t>
      </w:r>
    </w:p>
    <w:p w14:paraId="2767E98B" w14:textId="77777777" w:rsidR="002A2AD2" w:rsidRPr="002F4DC3" w:rsidRDefault="002A2AD2" w:rsidP="002A2AD2">
      <w:pPr>
        <w:rPr>
          <w:rFonts w:asciiTheme="minorHAnsi" w:hAnsiTheme="minorHAnsi" w:cstheme="minorHAnsi"/>
          <w:sz w:val="22"/>
          <w:szCs w:val="22"/>
        </w:rPr>
      </w:pPr>
      <w:r w:rsidRPr="002F4DC3">
        <w:rPr>
          <w:rFonts w:asciiTheme="minorHAnsi" w:hAnsiTheme="minorHAnsi" w:cstheme="minorHAnsi"/>
          <w:b/>
          <w:bCs/>
          <w:color w:val="000000"/>
          <w:sz w:val="22"/>
          <w:szCs w:val="22"/>
        </w:rPr>
        <w:t xml:space="preserve">Om Bjurfors Mäklarbarometer </w:t>
      </w:r>
      <w:r w:rsidRPr="002F4DC3">
        <w:rPr>
          <w:rFonts w:asciiTheme="minorHAnsi" w:hAnsiTheme="minorHAnsi" w:cstheme="minorHAnsi"/>
          <w:color w:val="000000"/>
          <w:sz w:val="22"/>
          <w:szCs w:val="22"/>
        </w:rPr>
        <w:br/>
      </w:r>
      <w:r w:rsidRPr="002F4DC3">
        <w:rPr>
          <w:rFonts w:asciiTheme="minorHAnsi" w:hAnsiTheme="minorHAnsi" w:cstheme="minorHAnsi"/>
          <w:sz w:val="22"/>
          <w:szCs w:val="22"/>
        </w:rPr>
        <w:t>Undersökningen gjordes i slutet av 2014 och baseras på svar från 116 Bjurfors-mäklare i Stockholm, Göteborg och Malmö</w:t>
      </w:r>
      <w:r w:rsidRPr="002F4DC3">
        <w:rPr>
          <w:rFonts w:asciiTheme="minorHAnsi" w:hAnsiTheme="minorHAnsi" w:cstheme="minorHAnsi"/>
          <w:color w:val="000000"/>
          <w:sz w:val="22"/>
          <w:szCs w:val="22"/>
        </w:rPr>
        <w:t xml:space="preserve">. Insamlingsperioden var mellan den 18 och 23 december 2014. </w:t>
      </w:r>
    </w:p>
    <w:p w14:paraId="31786A11"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 </w:t>
      </w:r>
    </w:p>
    <w:p w14:paraId="7389D26F"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lastRenderedPageBreak/>
        <w:t>Om Bjurfors</w:t>
      </w:r>
    </w:p>
    <w:p w14:paraId="095AD860" w14:textId="77777777" w:rsidR="0030471E" w:rsidRPr="0030471E" w:rsidRDefault="0030471E" w:rsidP="0030471E">
      <w:pPr>
        <w:rPr>
          <w:rFonts w:asciiTheme="minorHAnsi" w:hAnsiTheme="minorHAnsi"/>
          <w:color w:val="000000"/>
          <w:sz w:val="22"/>
          <w:szCs w:val="22"/>
        </w:rPr>
      </w:pPr>
      <w:r w:rsidRPr="0030471E">
        <w:rPr>
          <w:rStyle w:val="Betoning"/>
          <w:rFonts w:asciiTheme="minorHAnsi" w:hAnsiTheme="minorHAnsi"/>
          <w:color w:val="000000"/>
          <w:sz w:val="22"/>
          <w:szCs w:val="22"/>
        </w:rPr>
        <w:t>Bjurfors är en av de marknadsledande fastighetsmäklarkedjorna i Sverige och är verksamma inom såväl privatmarknaden som den kommersiella fastighetsmarknaden. Bjurfors har cirka 370 medarbetare, och har kontor i Stockholm, Göteborg, Malmö, Linköping, Västerås, Halmstad, Åre, Bohuslän och i Båstad samt på Gotland, franska Rivieran och i Spanien.</w:t>
      </w:r>
    </w:p>
    <w:p w14:paraId="7D2B8BA6"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s="Arial"/>
          <w:color w:val="000000"/>
          <w:sz w:val="22"/>
          <w:szCs w:val="22"/>
        </w:rPr>
        <w:t> </w:t>
      </w:r>
    </w:p>
    <w:p w14:paraId="0A996907"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s="Arial"/>
          <w:color w:val="000000"/>
          <w:sz w:val="22"/>
          <w:szCs w:val="22"/>
        </w:rPr>
        <w:t> </w:t>
      </w:r>
    </w:p>
    <w:p w14:paraId="0B9975B6" w14:textId="77777777" w:rsidR="00F47948" w:rsidRPr="0030471E" w:rsidRDefault="00F47948" w:rsidP="00EE7DDE">
      <w:pPr>
        <w:rPr>
          <w:rFonts w:asciiTheme="minorHAnsi" w:hAnsiTheme="minorHAnsi" w:cs="Arial"/>
          <w:sz w:val="22"/>
          <w:szCs w:val="22"/>
        </w:rPr>
      </w:pPr>
    </w:p>
    <w:sectPr w:rsidR="00F47948" w:rsidRPr="0030471E" w:rsidSect="003B10F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9624" w14:textId="77777777" w:rsidR="00F47948" w:rsidRDefault="00F47948" w:rsidP="00EC2507">
      <w:r>
        <w:separator/>
      </w:r>
    </w:p>
  </w:endnote>
  <w:endnote w:type="continuationSeparator" w:id="0">
    <w:p w14:paraId="393B571D" w14:textId="77777777" w:rsidR="00F47948" w:rsidRDefault="00F47948" w:rsidP="00E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00851"/>
      <w:docPartObj>
        <w:docPartGallery w:val="Page Numbers (Bottom of Page)"/>
        <w:docPartUnique/>
      </w:docPartObj>
    </w:sdtPr>
    <w:sdtEndPr/>
    <w:sdtContent>
      <w:p w14:paraId="5CBA400F" w14:textId="77777777" w:rsidR="00F47948" w:rsidRDefault="00F47948">
        <w:pPr>
          <w:pStyle w:val="Sidfot"/>
          <w:jc w:val="right"/>
        </w:pPr>
        <w:r>
          <w:fldChar w:fldCharType="begin"/>
        </w:r>
        <w:r>
          <w:instrText>PAGE   \* MERGEFORMAT</w:instrText>
        </w:r>
        <w:r>
          <w:fldChar w:fldCharType="separate"/>
        </w:r>
        <w:r w:rsidR="002F4DC3">
          <w:rPr>
            <w:noProof/>
          </w:rPr>
          <w:t>2</w:t>
        </w:r>
        <w:r>
          <w:fldChar w:fldCharType="end"/>
        </w:r>
      </w:p>
    </w:sdtContent>
  </w:sdt>
  <w:p w14:paraId="703868B9" w14:textId="77777777" w:rsidR="00F47948" w:rsidRDefault="00F4794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27877" w14:textId="77777777" w:rsidR="00F47948" w:rsidRDefault="00F47948" w:rsidP="00EC2507">
      <w:r>
        <w:separator/>
      </w:r>
    </w:p>
  </w:footnote>
  <w:footnote w:type="continuationSeparator" w:id="0">
    <w:p w14:paraId="36B1E057" w14:textId="77777777" w:rsidR="00F47948" w:rsidRDefault="00F47948" w:rsidP="00EC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80F3" w14:textId="77777777" w:rsidR="00F47948" w:rsidRDefault="00F47948">
    <w:pPr>
      <w:pStyle w:val="Sidhuvud"/>
    </w:pPr>
    <w:r>
      <w:tab/>
    </w:r>
    <w:r>
      <w:tab/>
    </w:r>
    <w:r>
      <w:rPr>
        <w:rFonts w:ascii="Arial" w:hAnsi="Arial" w:cs="Arial"/>
        <w:noProof/>
      </w:rPr>
      <w:drawing>
        <wp:inline distT="0" distB="0" distL="0" distR="0" wp14:anchorId="446F53D1" wp14:editId="7DEF481F">
          <wp:extent cx="1543050" cy="69629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702" cy="7033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F3F"/>
    <w:multiLevelType w:val="hybridMultilevel"/>
    <w:tmpl w:val="EF2064A4"/>
    <w:lvl w:ilvl="0" w:tplc="34201B2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E5543"/>
    <w:multiLevelType w:val="hybridMultilevel"/>
    <w:tmpl w:val="E56C0334"/>
    <w:lvl w:ilvl="0" w:tplc="3148FDE6">
      <w:start w:val="7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87323C6"/>
    <w:multiLevelType w:val="hybridMultilevel"/>
    <w:tmpl w:val="1960CB86"/>
    <w:lvl w:ilvl="0" w:tplc="1E4A5C9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890335"/>
    <w:multiLevelType w:val="hybridMultilevel"/>
    <w:tmpl w:val="1F125E32"/>
    <w:lvl w:ilvl="0" w:tplc="461C2C18">
      <w:start w:val="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D871E2"/>
    <w:multiLevelType w:val="hybridMultilevel"/>
    <w:tmpl w:val="FCA292E4"/>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65220DFE"/>
    <w:multiLevelType w:val="hybridMultilevel"/>
    <w:tmpl w:val="6BB20F88"/>
    <w:lvl w:ilvl="0" w:tplc="80DA9E38">
      <w:start w:val="7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CCE3782"/>
    <w:multiLevelType w:val="hybridMultilevel"/>
    <w:tmpl w:val="AE66EB10"/>
    <w:lvl w:ilvl="0" w:tplc="4BFA0A68">
      <w:numFmt w:val="bullet"/>
      <w:lvlText w:val="-"/>
      <w:lvlJc w:val="left"/>
      <w:pPr>
        <w:ind w:left="720" w:hanging="360"/>
      </w:pPr>
      <w:rPr>
        <w:rFonts w:ascii="Calibri" w:eastAsiaTheme="minorHAnsi" w:hAnsi="Calibri"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BB"/>
    <w:rsid w:val="00022B87"/>
    <w:rsid w:val="0003085B"/>
    <w:rsid w:val="0009174F"/>
    <w:rsid w:val="00093E87"/>
    <w:rsid w:val="0009475E"/>
    <w:rsid w:val="000D2580"/>
    <w:rsid w:val="000E00B1"/>
    <w:rsid w:val="001171E3"/>
    <w:rsid w:val="00146A25"/>
    <w:rsid w:val="0016554C"/>
    <w:rsid w:val="00180D88"/>
    <w:rsid w:val="001B519B"/>
    <w:rsid w:val="001E6CE5"/>
    <w:rsid w:val="00203FEF"/>
    <w:rsid w:val="00224F3C"/>
    <w:rsid w:val="00241B08"/>
    <w:rsid w:val="00254736"/>
    <w:rsid w:val="002802C6"/>
    <w:rsid w:val="002845AA"/>
    <w:rsid w:val="0029320E"/>
    <w:rsid w:val="00296A2D"/>
    <w:rsid w:val="002A2AD2"/>
    <w:rsid w:val="002A65F0"/>
    <w:rsid w:val="002D6719"/>
    <w:rsid w:val="002F4DC3"/>
    <w:rsid w:val="0030471E"/>
    <w:rsid w:val="003079E4"/>
    <w:rsid w:val="003255C2"/>
    <w:rsid w:val="00342296"/>
    <w:rsid w:val="0035194C"/>
    <w:rsid w:val="00377A25"/>
    <w:rsid w:val="003B10F3"/>
    <w:rsid w:val="003E517B"/>
    <w:rsid w:val="00402E69"/>
    <w:rsid w:val="00495657"/>
    <w:rsid w:val="004A37D3"/>
    <w:rsid w:val="004B2156"/>
    <w:rsid w:val="004C4FC2"/>
    <w:rsid w:val="00526A7E"/>
    <w:rsid w:val="00540ED1"/>
    <w:rsid w:val="005A3863"/>
    <w:rsid w:val="005B0AA7"/>
    <w:rsid w:val="005D263D"/>
    <w:rsid w:val="005E49EA"/>
    <w:rsid w:val="005F2069"/>
    <w:rsid w:val="00612DF9"/>
    <w:rsid w:val="006954E3"/>
    <w:rsid w:val="006A553B"/>
    <w:rsid w:val="006A6EBB"/>
    <w:rsid w:val="006B21C2"/>
    <w:rsid w:val="006D2ED6"/>
    <w:rsid w:val="0078768E"/>
    <w:rsid w:val="00792C14"/>
    <w:rsid w:val="007E2E50"/>
    <w:rsid w:val="008141AE"/>
    <w:rsid w:val="008558E1"/>
    <w:rsid w:val="00863C94"/>
    <w:rsid w:val="00885F5B"/>
    <w:rsid w:val="008A4518"/>
    <w:rsid w:val="008B6039"/>
    <w:rsid w:val="008C3CD1"/>
    <w:rsid w:val="008C573C"/>
    <w:rsid w:val="008D78D4"/>
    <w:rsid w:val="00924630"/>
    <w:rsid w:val="00946D31"/>
    <w:rsid w:val="009815E9"/>
    <w:rsid w:val="009A0AD5"/>
    <w:rsid w:val="00A93C63"/>
    <w:rsid w:val="00B16910"/>
    <w:rsid w:val="00B63714"/>
    <w:rsid w:val="00BD4CF6"/>
    <w:rsid w:val="00BE3259"/>
    <w:rsid w:val="00BE5E0C"/>
    <w:rsid w:val="00BF5A82"/>
    <w:rsid w:val="00BF68B0"/>
    <w:rsid w:val="00C11E57"/>
    <w:rsid w:val="00C33682"/>
    <w:rsid w:val="00C43B04"/>
    <w:rsid w:val="00C51C8E"/>
    <w:rsid w:val="00C80D8F"/>
    <w:rsid w:val="00C856E0"/>
    <w:rsid w:val="00C9382E"/>
    <w:rsid w:val="00C95159"/>
    <w:rsid w:val="00CB3D91"/>
    <w:rsid w:val="00CE066E"/>
    <w:rsid w:val="00CE4799"/>
    <w:rsid w:val="00CF67C1"/>
    <w:rsid w:val="00D278BA"/>
    <w:rsid w:val="00DA5329"/>
    <w:rsid w:val="00DB1EB0"/>
    <w:rsid w:val="00E11DBD"/>
    <w:rsid w:val="00E1763C"/>
    <w:rsid w:val="00E305C8"/>
    <w:rsid w:val="00E46FFD"/>
    <w:rsid w:val="00E55844"/>
    <w:rsid w:val="00E572F8"/>
    <w:rsid w:val="00E62E70"/>
    <w:rsid w:val="00E97DAA"/>
    <w:rsid w:val="00EA3A8A"/>
    <w:rsid w:val="00EB2948"/>
    <w:rsid w:val="00EC176D"/>
    <w:rsid w:val="00EC2507"/>
    <w:rsid w:val="00EE3DF0"/>
    <w:rsid w:val="00EE7DDE"/>
    <w:rsid w:val="00F231DB"/>
    <w:rsid w:val="00F47948"/>
    <w:rsid w:val="00F50A04"/>
    <w:rsid w:val="00F732AD"/>
    <w:rsid w:val="00F73DDF"/>
    <w:rsid w:val="00F75226"/>
    <w:rsid w:val="00FA79F0"/>
    <w:rsid w:val="00FC258F"/>
    <w:rsid w:val="00FE531F"/>
    <w:rsid w:val="00FE6014"/>
    <w:rsid w:val="00FF11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5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Oformateradtabell31">
    <w:name w:val="Oformaterad tabell 31"/>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3dekorfrg11">
    <w:name w:val="Rutnätstabell 3 – dekorfärg 11"/>
    <w:basedOn w:val="Normaltabell"/>
    <w:uiPriority w:val="48"/>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2dekorfrg11">
    <w:name w:val="Rutnätstabell 2 – dekorfärg 11"/>
    <w:basedOn w:val="Normaltabell"/>
    <w:uiPriority w:val="47"/>
    <w:rsid w:val="002D6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11">
    <w:name w:val="Rutnätstabell 4 – dekorfärg 11"/>
    <w:basedOn w:val="Normaltabell"/>
    <w:uiPriority w:val="49"/>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5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Oformateradtabell31">
    <w:name w:val="Oformaterad tabell 31"/>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3dekorfrg11">
    <w:name w:val="Rutnätstabell 3 – dekorfärg 11"/>
    <w:basedOn w:val="Normaltabell"/>
    <w:uiPriority w:val="48"/>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2dekorfrg11">
    <w:name w:val="Rutnätstabell 2 – dekorfärg 11"/>
    <w:basedOn w:val="Normaltabell"/>
    <w:uiPriority w:val="47"/>
    <w:rsid w:val="002D6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11">
    <w:name w:val="Rutnätstabell 4 – dekorfärg 11"/>
    <w:basedOn w:val="Normaltabell"/>
    <w:uiPriority w:val="49"/>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95">
      <w:bodyDiv w:val="1"/>
      <w:marLeft w:val="0"/>
      <w:marRight w:val="0"/>
      <w:marTop w:val="0"/>
      <w:marBottom w:val="0"/>
      <w:divBdr>
        <w:top w:val="none" w:sz="0" w:space="0" w:color="auto"/>
        <w:left w:val="none" w:sz="0" w:space="0" w:color="auto"/>
        <w:bottom w:val="none" w:sz="0" w:space="0" w:color="auto"/>
        <w:right w:val="none" w:sz="0" w:space="0" w:color="auto"/>
      </w:divBdr>
    </w:div>
    <w:div w:id="107745659">
      <w:bodyDiv w:val="1"/>
      <w:marLeft w:val="0"/>
      <w:marRight w:val="0"/>
      <w:marTop w:val="0"/>
      <w:marBottom w:val="0"/>
      <w:divBdr>
        <w:top w:val="none" w:sz="0" w:space="0" w:color="auto"/>
        <w:left w:val="none" w:sz="0" w:space="0" w:color="auto"/>
        <w:bottom w:val="none" w:sz="0" w:space="0" w:color="auto"/>
        <w:right w:val="none" w:sz="0" w:space="0" w:color="auto"/>
      </w:divBdr>
    </w:div>
    <w:div w:id="146627573">
      <w:bodyDiv w:val="1"/>
      <w:marLeft w:val="0"/>
      <w:marRight w:val="0"/>
      <w:marTop w:val="0"/>
      <w:marBottom w:val="0"/>
      <w:divBdr>
        <w:top w:val="none" w:sz="0" w:space="0" w:color="auto"/>
        <w:left w:val="none" w:sz="0" w:space="0" w:color="auto"/>
        <w:bottom w:val="none" w:sz="0" w:space="0" w:color="auto"/>
        <w:right w:val="none" w:sz="0" w:space="0" w:color="auto"/>
      </w:divBdr>
    </w:div>
    <w:div w:id="271254157">
      <w:bodyDiv w:val="1"/>
      <w:marLeft w:val="0"/>
      <w:marRight w:val="0"/>
      <w:marTop w:val="0"/>
      <w:marBottom w:val="0"/>
      <w:divBdr>
        <w:top w:val="none" w:sz="0" w:space="0" w:color="auto"/>
        <w:left w:val="none" w:sz="0" w:space="0" w:color="auto"/>
        <w:bottom w:val="none" w:sz="0" w:space="0" w:color="auto"/>
        <w:right w:val="none" w:sz="0" w:space="0" w:color="auto"/>
      </w:divBdr>
    </w:div>
    <w:div w:id="373310745">
      <w:bodyDiv w:val="1"/>
      <w:marLeft w:val="0"/>
      <w:marRight w:val="0"/>
      <w:marTop w:val="0"/>
      <w:marBottom w:val="0"/>
      <w:divBdr>
        <w:top w:val="none" w:sz="0" w:space="0" w:color="auto"/>
        <w:left w:val="none" w:sz="0" w:space="0" w:color="auto"/>
        <w:bottom w:val="none" w:sz="0" w:space="0" w:color="auto"/>
        <w:right w:val="none" w:sz="0" w:space="0" w:color="auto"/>
      </w:divBdr>
    </w:div>
    <w:div w:id="487482893">
      <w:bodyDiv w:val="1"/>
      <w:marLeft w:val="0"/>
      <w:marRight w:val="0"/>
      <w:marTop w:val="0"/>
      <w:marBottom w:val="0"/>
      <w:divBdr>
        <w:top w:val="none" w:sz="0" w:space="0" w:color="auto"/>
        <w:left w:val="none" w:sz="0" w:space="0" w:color="auto"/>
        <w:bottom w:val="none" w:sz="0" w:space="0" w:color="auto"/>
        <w:right w:val="none" w:sz="0" w:space="0" w:color="auto"/>
      </w:divBdr>
    </w:div>
    <w:div w:id="950820747">
      <w:bodyDiv w:val="1"/>
      <w:marLeft w:val="0"/>
      <w:marRight w:val="0"/>
      <w:marTop w:val="0"/>
      <w:marBottom w:val="0"/>
      <w:divBdr>
        <w:top w:val="none" w:sz="0" w:space="0" w:color="auto"/>
        <w:left w:val="none" w:sz="0" w:space="0" w:color="auto"/>
        <w:bottom w:val="none" w:sz="0" w:space="0" w:color="auto"/>
        <w:right w:val="none" w:sz="0" w:space="0" w:color="auto"/>
      </w:divBdr>
    </w:div>
    <w:div w:id="954169308">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829788430">
      <w:bodyDiv w:val="1"/>
      <w:marLeft w:val="0"/>
      <w:marRight w:val="0"/>
      <w:marTop w:val="0"/>
      <w:marBottom w:val="0"/>
      <w:divBdr>
        <w:top w:val="none" w:sz="0" w:space="0" w:color="auto"/>
        <w:left w:val="none" w:sz="0" w:space="0" w:color="auto"/>
        <w:bottom w:val="none" w:sz="0" w:space="0" w:color="auto"/>
        <w:right w:val="none" w:sz="0" w:space="0" w:color="auto"/>
      </w:divBdr>
    </w:div>
    <w:div w:id="1884168326">
      <w:bodyDiv w:val="1"/>
      <w:marLeft w:val="0"/>
      <w:marRight w:val="0"/>
      <w:marTop w:val="0"/>
      <w:marBottom w:val="0"/>
      <w:divBdr>
        <w:top w:val="none" w:sz="0" w:space="0" w:color="auto"/>
        <w:left w:val="none" w:sz="0" w:space="0" w:color="auto"/>
        <w:bottom w:val="none" w:sz="0" w:space="0" w:color="auto"/>
        <w:right w:val="none" w:sz="0" w:space="0" w:color="auto"/>
      </w:divBdr>
    </w:div>
    <w:div w:id="1936665424">
      <w:bodyDiv w:val="1"/>
      <w:marLeft w:val="0"/>
      <w:marRight w:val="0"/>
      <w:marTop w:val="0"/>
      <w:marBottom w:val="0"/>
      <w:divBdr>
        <w:top w:val="none" w:sz="0" w:space="0" w:color="auto"/>
        <w:left w:val="none" w:sz="0" w:space="0" w:color="auto"/>
        <w:bottom w:val="none" w:sz="0" w:space="0" w:color="auto"/>
        <w:right w:val="none" w:sz="0" w:space="0" w:color="auto"/>
      </w:divBdr>
    </w:div>
    <w:div w:id="2033604210">
      <w:bodyDiv w:val="1"/>
      <w:marLeft w:val="0"/>
      <w:marRight w:val="0"/>
      <w:marTop w:val="0"/>
      <w:marBottom w:val="0"/>
      <w:divBdr>
        <w:top w:val="none" w:sz="0" w:space="0" w:color="auto"/>
        <w:left w:val="none" w:sz="0" w:space="0" w:color="auto"/>
        <w:bottom w:val="none" w:sz="0" w:space="0" w:color="auto"/>
        <w:right w:val="none" w:sz="0" w:space="0" w:color="auto"/>
      </w:divBdr>
    </w:div>
    <w:div w:id="20771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19318-AA8C-456B-9DD9-2AFF4215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2401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Karin Hallerbäck Scherr</cp:lastModifiedBy>
  <cp:revision>3</cp:revision>
  <cp:lastPrinted>2014-12-15T14:52:00Z</cp:lastPrinted>
  <dcterms:created xsi:type="dcterms:W3CDTF">2015-01-09T10:33:00Z</dcterms:created>
  <dcterms:modified xsi:type="dcterms:W3CDTF">2015-01-09T10:37:00Z</dcterms:modified>
</cp:coreProperties>
</file>