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81" w:rsidRDefault="008B6281" w:rsidP="008B6281">
      <w:pPr>
        <w:rPr>
          <w:b/>
          <w:color w:val="E36C0A" w:themeColor="accent6" w:themeShade="BF"/>
          <w:sz w:val="28"/>
        </w:rPr>
      </w:pPr>
      <w:bookmarkStart w:id="0" w:name="_GoBack"/>
      <w:bookmarkEnd w:id="0"/>
    </w:p>
    <w:p w:rsidR="008B6281" w:rsidRPr="000F66D9" w:rsidRDefault="008B6281" w:rsidP="008B6281">
      <w:pPr>
        <w:rPr>
          <w:b/>
          <w:sz w:val="28"/>
        </w:rPr>
      </w:pPr>
    </w:p>
    <w:p w:rsidR="008B6281" w:rsidRPr="000F66D9" w:rsidRDefault="000F66D9" w:rsidP="008B6281">
      <w:pPr>
        <w:rPr>
          <w:b/>
          <w:sz w:val="28"/>
        </w:rPr>
      </w:pPr>
      <w:r w:rsidRPr="000F66D9">
        <w:rPr>
          <w:b/>
          <w:sz w:val="28"/>
        </w:rPr>
        <w:t>Pressmeddelande</w:t>
      </w:r>
    </w:p>
    <w:p w:rsidR="000F66D9" w:rsidRDefault="000F66D9" w:rsidP="008B6281">
      <w:pPr>
        <w:rPr>
          <w:b/>
          <w:color w:val="E36C0A" w:themeColor="accent6" w:themeShade="BF"/>
          <w:sz w:val="28"/>
        </w:rPr>
      </w:pPr>
    </w:p>
    <w:p w:rsidR="008B6281" w:rsidRPr="000F66D9" w:rsidRDefault="008B6281" w:rsidP="008B6281">
      <w:pPr>
        <w:rPr>
          <w:b/>
          <w:color w:val="E36C0A" w:themeColor="accent6" w:themeShade="BF"/>
          <w:sz w:val="32"/>
        </w:rPr>
      </w:pPr>
      <w:r w:rsidRPr="000F66D9">
        <w:rPr>
          <w:b/>
          <w:color w:val="E36C0A" w:themeColor="accent6" w:themeShade="BF"/>
          <w:sz w:val="32"/>
        </w:rPr>
        <w:t>Svenska mjölkbönder stärker sin konkurrenskraft</w:t>
      </w:r>
    </w:p>
    <w:p w:rsidR="008B6281" w:rsidRPr="008B6281" w:rsidRDefault="008B6281" w:rsidP="008B6281">
      <w:pPr>
        <w:rPr>
          <w:b/>
          <w:i/>
        </w:rPr>
      </w:pPr>
      <w:r w:rsidRPr="008B6281">
        <w:rPr>
          <w:b/>
          <w:i/>
        </w:rPr>
        <w:t xml:space="preserve">När mjölkbönder från hela Europa samlades i Prag i slutet </w:t>
      </w:r>
      <w:r w:rsidR="001C65F2">
        <w:rPr>
          <w:b/>
          <w:i/>
        </w:rPr>
        <w:t>av</w:t>
      </w:r>
      <w:r w:rsidRPr="008B6281">
        <w:rPr>
          <w:b/>
          <w:i/>
        </w:rPr>
        <w:t xml:space="preserve"> juni riktades intresse mot de svenska gårdarnas resultat. Förbättringar flera år i rad har tagit den svenska gruppen från en jumboplacering till idag </w:t>
      </w:r>
      <w:r w:rsidRPr="008B6281">
        <w:rPr>
          <w:b/>
          <w:i/>
          <w:u w:val="single"/>
        </w:rPr>
        <w:t>en fjärdeplats bland 13 analyserade EU-länder</w:t>
      </w:r>
      <w:r w:rsidRPr="008B6281">
        <w:rPr>
          <w:b/>
          <w:i/>
        </w:rPr>
        <w:t>.</w:t>
      </w:r>
    </w:p>
    <w:p w:rsidR="008B6281" w:rsidRPr="008F7580" w:rsidRDefault="008B6281" w:rsidP="008B6281">
      <w:pPr>
        <w:rPr>
          <w:b/>
        </w:rPr>
      </w:pPr>
    </w:p>
    <w:p w:rsidR="008B6281" w:rsidRDefault="008B6281" w:rsidP="008B6281">
      <w:proofErr w:type="spellStart"/>
      <w:r>
        <w:t>European</w:t>
      </w:r>
      <w:proofErr w:type="spellEnd"/>
      <w:r>
        <w:t xml:space="preserve"> </w:t>
      </w:r>
      <w:proofErr w:type="spellStart"/>
      <w:r>
        <w:t>Dairy</w:t>
      </w:r>
      <w:proofErr w:type="spellEnd"/>
      <w:r>
        <w:t xml:space="preserve"> Farmers (EDF) jämför årligen produktionskostnader och nyckeltal mellan medlemmarnas gårdar. Irland och Tjeckien sticker ut med extra låga kostnader. Men de svenska gårdarna ligger nu i toppligan, tack vare effektiva produktionssystem och hög avkastning.</w:t>
      </w:r>
    </w:p>
    <w:p w:rsidR="001C65F2" w:rsidRDefault="001C65F2" w:rsidP="008B6281"/>
    <w:p w:rsidR="008B6281" w:rsidRDefault="008B6281" w:rsidP="008B6281">
      <w:r w:rsidRPr="00045E54">
        <w:rPr>
          <w:b/>
          <w:i/>
        </w:rPr>
        <w:t>”De svenska gårdar som är med i EDF visar att det går att producera mjölk i Sverige med god konkurrenskraft!”</w:t>
      </w:r>
      <w:r>
        <w:rPr>
          <w:i/>
        </w:rPr>
        <w:t xml:space="preserve"> </w:t>
      </w:r>
      <w:r>
        <w:t>menar Anders Christensson, mjölkföretagare i Falkenberg och ordförande för den svenska EDF-föreningen.</w:t>
      </w:r>
    </w:p>
    <w:p w:rsidR="008B6281" w:rsidRDefault="008B6281" w:rsidP="008B6281"/>
    <w:p w:rsidR="008B6281" w:rsidRDefault="008B6281" w:rsidP="008B6281">
      <w:r>
        <w:t xml:space="preserve">De senaste årens låga mjölkpris har tvingat fram förändringar på gårdarna i Europa. De flesta länder har sänkt sitt break-even pris under dessa år. Men Sverige sticker ut med den största förbättringen. Under de senaste fyra åren har man i genomsnitt lyckats kapa 64 öre på break-even priset. </w:t>
      </w:r>
    </w:p>
    <w:p w:rsidR="008B6281" w:rsidRDefault="008B6281" w:rsidP="008B6281">
      <w:r>
        <w:t>Flera samverkande faktorer är gemensamma för de svenska gårdarnas förbättringar:</w:t>
      </w:r>
    </w:p>
    <w:p w:rsidR="001C65F2" w:rsidRDefault="001C65F2" w:rsidP="008B6281"/>
    <w:p w:rsidR="008B6281" w:rsidRDefault="008B6281" w:rsidP="008B6281">
      <w:pPr>
        <w:pStyle w:val="Liststycke"/>
        <w:numPr>
          <w:ilvl w:val="0"/>
          <w:numId w:val="18"/>
        </w:numPr>
        <w:spacing w:after="200" w:line="276" w:lineRule="auto"/>
      </w:pPr>
      <w:r>
        <w:t>Höga intäkter från slaktdjur och livdjur.</w:t>
      </w:r>
    </w:p>
    <w:p w:rsidR="008B6281" w:rsidRDefault="008B6281" w:rsidP="008B6281">
      <w:pPr>
        <w:pStyle w:val="Liststycke"/>
        <w:numPr>
          <w:ilvl w:val="0"/>
          <w:numId w:val="18"/>
        </w:numPr>
        <w:spacing w:after="200" w:line="276" w:lineRule="auto"/>
      </w:pPr>
      <w:r>
        <w:t>En gynnsam marknad för flera insatsmedel, t.ex. foder, gödning och energi.</w:t>
      </w:r>
    </w:p>
    <w:p w:rsidR="008B6281" w:rsidRDefault="008B6281" w:rsidP="008B6281">
      <w:pPr>
        <w:pStyle w:val="Liststycke"/>
        <w:numPr>
          <w:ilvl w:val="0"/>
          <w:numId w:val="18"/>
        </w:numPr>
        <w:spacing w:after="200" w:line="276" w:lineRule="auto"/>
      </w:pPr>
      <w:r>
        <w:t>Höjd avkastning, i genomsnitt nästan 200 kg ECM per år.</w:t>
      </w:r>
    </w:p>
    <w:p w:rsidR="008B6281" w:rsidRDefault="008B6281" w:rsidP="008B6281">
      <w:r>
        <w:t>Många</w:t>
      </w:r>
      <w:r w:rsidRPr="00D84E1A">
        <w:t xml:space="preserve"> av företagen har </w:t>
      </w:r>
      <w:r>
        <w:t xml:space="preserve">också </w:t>
      </w:r>
      <w:r w:rsidRPr="00D84E1A">
        <w:t>förbättrat sin effektivitet på gårdsnivå</w:t>
      </w:r>
      <w:r>
        <w:t xml:space="preserve"> vad gäller arbete och foder</w:t>
      </w:r>
      <w:r w:rsidRPr="00D84E1A">
        <w:t>. Även större strategiska förändringar kring arbetsplanering, foderodling och djurflöde har gett stor effekt på vissa gårdar.</w:t>
      </w:r>
    </w:p>
    <w:p w:rsidR="008B6281" w:rsidRPr="00D84E1A" w:rsidRDefault="008B6281" w:rsidP="008B6281"/>
    <w:p w:rsidR="008B6281" w:rsidRDefault="008B6281" w:rsidP="008B6281">
      <w:r>
        <w:rPr>
          <w:i/>
        </w:rPr>
        <w:t xml:space="preserve">”Kännetecknande för EDF-gårdarna är att man fokuserar på möjligheter och letar ständiga förbättringar. Det är roligt att se när ett strategiskt arbete med företagsledning och management ger tydlig effekt” </w:t>
      </w:r>
      <w:r>
        <w:t>säger Susanne Bååth Jacobsson, företagsrådgivare på Växa Sverige.</w:t>
      </w:r>
    </w:p>
    <w:p w:rsidR="008B6281" w:rsidRDefault="008B6281" w:rsidP="008B6281"/>
    <w:p w:rsidR="008B6281" w:rsidRDefault="008B6281" w:rsidP="008B6281"/>
    <w:p w:rsidR="008B6281" w:rsidRDefault="008B6281" w:rsidP="008B6281">
      <w:r w:rsidRPr="00530F65">
        <w:rPr>
          <w:noProof/>
        </w:rPr>
        <w:drawing>
          <wp:inline distT="0" distB="0" distL="0" distR="0" wp14:anchorId="0721063E" wp14:editId="18F923C3">
            <wp:extent cx="1447800" cy="1447800"/>
            <wp:effectExtent l="0" t="0" r="0" b="0"/>
            <wp:docPr id="1" name="Bildobjekt 1" descr="V:\EDF\Logo EDF Sweden - COLOR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EDF\Logo EDF Sweden - COLOR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Verdana" w:hAnsi="Verdana"/>
          <w:noProof/>
          <w:color w:val="676767"/>
          <w:sz w:val="20"/>
          <w:szCs w:val="20"/>
        </w:rPr>
        <w:drawing>
          <wp:inline distT="0" distB="0" distL="0" distR="0" wp14:anchorId="28DD9BE6" wp14:editId="58B298E6">
            <wp:extent cx="2087590" cy="1158240"/>
            <wp:effectExtent l="0" t="0" r="8255" b="3810"/>
            <wp:docPr id="4" name="Bildobjekt 4" descr="vxa sv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xa sv logg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40" cy="116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81" w:rsidRDefault="008B6281" w:rsidP="008B6281">
      <w:pPr>
        <w:rPr>
          <w:color w:val="E36C0A" w:themeColor="accent6" w:themeShade="BF"/>
        </w:rPr>
      </w:pPr>
    </w:p>
    <w:p w:rsidR="008B6281" w:rsidRPr="008B6281" w:rsidRDefault="008B6281" w:rsidP="008B6281">
      <w:pPr>
        <w:rPr>
          <w:color w:val="E36C0A" w:themeColor="accent6" w:themeShade="BF"/>
        </w:rPr>
      </w:pPr>
      <w:r w:rsidRPr="008B6281">
        <w:rPr>
          <w:color w:val="E36C0A" w:themeColor="accent6" w:themeShade="BF"/>
        </w:rPr>
        <w:t>För mer information välkommen att kontakta:</w:t>
      </w:r>
    </w:p>
    <w:p w:rsidR="008B6281" w:rsidRDefault="008B6281" w:rsidP="008B6281">
      <w:r>
        <w:t>Anders Christensson, ordförande EDF-Sverige, tel. 0705-643 387</w:t>
      </w:r>
    </w:p>
    <w:p w:rsidR="008B6281" w:rsidRDefault="008B6281" w:rsidP="008B6281">
      <w:r>
        <w:t>Susanne Bååth Jacobsson, företagsrådgivare Växa Sverige, tel. 010-471 0337</w:t>
      </w:r>
    </w:p>
    <w:p w:rsidR="008B6281" w:rsidRDefault="008B6281" w:rsidP="008B6281"/>
    <w:p w:rsidR="008B6281" w:rsidRDefault="008B6281">
      <w:r>
        <w:br w:type="page"/>
      </w:r>
    </w:p>
    <w:p w:rsidR="008B6281" w:rsidRDefault="008B6281" w:rsidP="008B6281"/>
    <w:p w:rsidR="008B6281" w:rsidRDefault="008B6281" w:rsidP="008B6281"/>
    <w:p w:rsidR="0061556F" w:rsidRDefault="0087045A" w:rsidP="0044674B">
      <w:pPr>
        <w:rPr>
          <w:i/>
        </w:rPr>
      </w:pPr>
      <w:r>
        <w:rPr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4FD6" wp14:editId="1B5D8422">
                <wp:simplePos x="0" y="0"/>
                <wp:positionH relativeFrom="margin">
                  <wp:posOffset>-61595</wp:posOffset>
                </wp:positionH>
                <wp:positionV relativeFrom="paragraph">
                  <wp:posOffset>88557</wp:posOffset>
                </wp:positionV>
                <wp:extent cx="5961185" cy="2250831"/>
                <wp:effectExtent l="0" t="0" r="20955" b="1651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185" cy="22508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569D9" id="Rektangel 5" o:spid="_x0000_s1026" style="position:absolute;margin-left:-4.85pt;margin-top:6.95pt;width:469.4pt;height:1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" filled="f" strokecolor="#f79646 [3209]" strokeweight="2pt">
                <w10:wrap anchorx="margin"/>
              </v:rect>
            </w:pict>
          </mc:Fallback>
        </mc:AlternateContent>
      </w:r>
    </w:p>
    <w:p w:rsidR="001C65F2" w:rsidRPr="001C65F2" w:rsidRDefault="001C65F2" w:rsidP="001C65F2">
      <w:pPr>
        <w:shd w:val="clear" w:color="auto" w:fill="FFFFFF"/>
        <w:spacing w:after="150"/>
        <w:rPr>
          <w:rFonts w:ascii="Calibri" w:hAnsi="Calibri" w:cs="Arial"/>
          <w:color w:val="333333"/>
          <w:sz w:val="28"/>
        </w:rPr>
      </w:pPr>
      <w:r w:rsidRPr="001C65F2">
        <w:rPr>
          <w:rFonts w:ascii="Calibri" w:hAnsi="Calibri" w:cs="Arial"/>
          <w:b/>
          <w:bCs/>
          <w:color w:val="333333"/>
          <w:sz w:val="28"/>
        </w:rPr>
        <w:t xml:space="preserve">Om Växa Sverige </w:t>
      </w:r>
    </w:p>
    <w:p w:rsidR="001C65F2" w:rsidRDefault="001C65F2" w:rsidP="001C65F2">
      <w:pPr>
        <w:shd w:val="clear" w:color="auto" w:fill="FFFFFF"/>
        <w:spacing w:after="150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 xml:space="preserve">Växa Sverige är ett medlemsföretag med totalt 7 032* medlemmar, varav cirka hälften är aktiva i mjölkproduktion. Vår verksamhet bedrivs från ett 30-tal driftplatser över i stort sett hela landet. </w:t>
      </w:r>
    </w:p>
    <w:p w:rsidR="001C65F2" w:rsidRDefault="001C65F2" w:rsidP="001C65F2">
      <w:pPr>
        <w:shd w:val="clear" w:color="auto" w:fill="FFFFFF"/>
        <w:spacing w:after="150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 xml:space="preserve">Växa Sverige tillhandahåller rådgivning och service som sänker kostnaderna, optimerar produktionen och ökar lönsamheten i lantbruksföretag. Växa erbjuder tjänster inom allt från semin och avbytarservice till avelsrådgivning, förebyggande djurhälsoarbete och rådgivning inom företags- och affärsutveckling. </w:t>
      </w:r>
    </w:p>
    <w:p w:rsidR="001C65F2" w:rsidRDefault="001C65F2" w:rsidP="001C65F2">
      <w:pPr>
        <w:shd w:val="clear" w:color="auto" w:fill="FFFFFF"/>
        <w:rPr>
          <w:rFonts w:ascii="Calibri" w:hAnsi="Calibri"/>
        </w:rPr>
      </w:pPr>
      <w:r>
        <w:rPr>
          <w:rFonts w:ascii="Calibri" w:hAnsi="Calibri" w:cs="Arial"/>
          <w:color w:val="333333"/>
        </w:rPr>
        <w:t>*2016</w:t>
      </w:r>
      <w:r>
        <w:rPr>
          <w:rFonts w:ascii="Calibri" w:hAnsi="Calibri" w:cs="Arial"/>
          <w:color w:val="333333"/>
        </w:rPr>
        <w:t>/17</w:t>
      </w:r>
    </w:p>
    <w:p w:rsidR="009A0588" w:rsidRPr="009A0588" w:rsidRDefault="009A0588" w:rsidP="001C65F2">
      <w:pPr>
        <w:rPr>
          <w:i/>
          <w:sz w:val="16"/>
        </w:rPr>
      </w:pPr>
    </w:p>
    <w:sectPr w:rsidR="009A0588" w:rsidRPr="009A0588" w:rsidSect="008F44F5">
      <w:head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77" w:rsidRDefault="00041C77" w:rsidP="004928CD">
      <w:pPr>
        <w:pStyle w:val="Sidfot"/>
      </w:pPr>
      <w:r>
        <w:separator/>
      </w:r>
    </w:p>
  </w:endnote>
  <w:endnote w:type="continuationSeparator" w:id="0">
    <w:p w:rsidR="00041C77" w:rsidRDefault="00041C77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  <w:p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77" w:rsidRDefault="00041C77" w:rsidP="004928CD">
      <w:pPr>
        <w:pStyle w:val="Sidfot"/>
      </w:pPr>
      <w:r>
        <w:separator/>
      </w:r>
    </w:p>
  </w:footnote>
  <w:footnote w:type="continuationSeparator" w:id="0">
    <w:p w:rsidR="00041C77" w:rsidRDefault="00041C77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4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  <w:gridCol w:w="3185"/>
    </w:tblGrid>
    <w:tr w:rsidR="002D4B7C" w:rsidRPr="00884D19" w:rsidTr="00836267">
      <w:trPr>
        <w:jc w:val="center"/>
      </w:trPr>
      <w:tc>
        <w:tcPr>
          <w:tcW w:w="3085" w:type="dxa"/>
        </w:tcPr>
        <w:p w:rsidR="001A0B37" w:rsidRPr="00884D19" w:rsidRDefault="001A0B37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4C2563FF" wp14:editId="517A0D2B">
                <wp:simplePos x="0" y="0"/>
                <wp:positionH relativeFrom="column">
                  <wp:posOffset>53340</wp:posOffset>
                </wp:positionH>
                <wp:positionV relativeFrom="paragraph">
                  <wp:posOffset>196850</wp:posOffset>
                </wp:positionV>
                <wp:extent cx="1248410" cy="551180"/>
                <wp:effectExtent l="0" t="0" r="8890" b="1270"/>
                <wp:wrapThrough wrapText="bothSides">
                  <wp:wrapPolygon edited="0">
                    <wp:start x="0" y="0"/>
                    <wp:lineTo x="0" y="20903"/>
                    <wp:lineTo x="21424" y="20903"/>
                    <wp:lineTo x="21424" y="0"/>
                    <wp:lineTo x="0" y="0"/>
                  </wp:wrapPolygon>
                </wp:wrapThrough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xaloggalit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5" w:type="dxa"/>
        </w:tcPr>
        <w:p w:rsidR="002D4B7C" w:rsidRPr="00884D19" w:rsidRDefault="002D4B7C" w:rsidP="001A0B37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:rsidR="00DD5CBA" w:rsidRDefault="00DD5CBA" w:rsidP="00AC056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:rsidR="001A0B37" w:rsidRDefault="000F66D9" w:rsidP="00AC056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2017-07-13</w:t>
          </w:r>
        </w:p>
        <w:p w:rsidR="004F58A5" w:rsidRPr="00884D19" w:rsidRDefault="004F58A5" w:rsidP="00AC056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3185" w:type="dxa"/>
        </w:tcPr>
        <w:p w:rsidR="002D4B7C" w:rsidRPr="00884D19" w:rsidRDefault="002D4B7C" w:rsidP="001A0B37">
          <w:pPr>
            <w:pStyle w:val="Sidhuvud"/>
            <w:jc w:val="right"/>
            <w:rPr>
              <w:rStyle w:val="Sidnummer"/>
              <w:rFonts w:asciiTheme="minorHAnsi" w:hAnsiTheme="minorHAnsi"/>
              <w:sz w:val="18"/>
              <w:szCs w:val="18"/>
            </w:rPr>
          </w:pPr>
        </w:p>
        <w:p w:rsidR="001A0B37" w:rsidRPr="00884D19" w:rsidRDefault="001A0B37" w:rsidP="001A0B37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begin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instrText xml:space="preserve"> PAGE </w:instrTex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separate"/>
          </w:r>
          <w:r w:rsidR="00876706">
            <w:rPr>
              <w:rStyle w:val="Sidnummer"/>
              <w:rFonts w:asciiTheme="minorHAnsi" w:hAnsiTheme="minorHAnsi"/>
              <w:noProof/>
              <w:sz w:val="18"/>
              <w:szCs w:val="18"/>
            </w:rPr>
            <w:t>2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end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t xml:space="preserve"> (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begin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instrText xml:space="preserve"> NUMPAGES </w:instrTex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separate"/>
          </w:r>
          <w:r w:rsidR="00876706">
            <w:rPr>
              <w:rStyle w:val="Sidnummer"/>
              <w:rFonts w:asciiTheme="minorHAnsi" w:hAnsiTheme="minorHAnsi"/>
              <w:noProof/>
              <w:sz w:val="18"/>
              <w:szCs w:val="18"/>
            </w:rPr>
            <w:t>2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end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t>)</w:t>
          </w:r>
        </w:p>
      </w:tc>
    </w:tr>
  </w:tbl>
  <w:p w:rsidR="004E1DE6" w:rsidRDefault="004E1DE6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5F65A" wp14:editId="7848C278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876706">
      <w:rPr>
        <w:noProof/>
      </w:rPr>
      <w:t>2017-07-13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32168"/>
    <w:multiLevelType w:val="hybridMultilevel"/>
    <w:tmpl w:val="8C4A5A58"/>
    <w:lvl w:ilvl="0" w:tplc="D6DC3C4C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A1856"/>
    <w:multiLevelType w:val="hybridMultilevel"/>
    <w:tmpl w:val="5100C6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4817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E9"/>
    <w:rsid w:val="000223FA"/>
    <w:rsid w:val="000350A7"/>
    <w:rsid w:val="00041C77"/>
    <w:rsid w:val="00042A1D"/>
    <w:rsid w:val="00053E4E"/>
    <w:rsid w:val="00073A07"/>
    <w:rsid w:val="00081F3B"/>
    <w:rsid w:val="000972FD"/>
    <w:rsid w:val="000A1414"/>
    <w:rsid w:val="000A17FA"/>
    <w:rsid w:val="000A3D09"/>
    <w:rsid w:val="000B7316"/>
    <w:rsid w:val="000D2A1C"/>
    <w:rsid w:val="000E55DF"/>
    <w:rsid w:val="000E72D1"/>
    <w:rsid w:val="000F35EF"/>
    <w:rsid w:val="000F66D9"/>
    <w:rsid w:val="00112159"/>
    <w:rsid w:val="00114B7A"/>
    <w:rsid w:val="00130DD8"/>
    <w:rsid w:val="001401E2"/>
    <w:rsid w:val="00161F9C"/>
    <w:rsid w:val="00170076"/>
    <w:rsid w:val="0017333B"/>
    <w:rsid w:val="00181FF2"/>
    <w:rsid w:val="001A0B37"/>
    <w:rsid w:val="001A1806"/>
    <w:rsid w:val="001B5CD9"/>
    <w:rsid w:val="001C178E"/>
    <w:rsid w:val="001C65F2"/>
    <w:rsid w:val="001C6B45"/>
    <w:rsid w:val="001C6D02"/>
    <w:rsid w:val="001D61A5"/>
    <w:rsid w:val="001F0561"/>
    <w:rsid w:val="00202411"/>
    <w:rsid w:val="00211E22"/>
    <w:rsid w:val="00217C60"/>
    <w:rsid w:val="00221132"/>
    <w:rsid w:val="00222DD8"/>
    <w:rsid w:val="0022496D"/>
    <w:rsid w:val="00225A08"/>
    <w:rsid w:val="002315CB"/>
    <w:rsid w:val="002318A7"/>
    <w:rsid w:val="00240A35"/>
    <w:rsid w:val="002414AC"/>
    <w:rsid w:val="002467C1"/>
    <w:rsid w:val="0025246A"/>
    <w:rsid w:val="00256A97"/>
    <w:rsid w:val="00270CDC"/>
    <w:rsid w:val="00274BC2"/>
    <w:rsid w:val="00277777"/>
    <w:rsid w:val="00285AB7"/>
    <w:rsid w:val="00285D7A"/>
    <w:rsid w:val="002870DF"/>
    <w:rsid w:val="0029672D"/>
    <w:rsid w:val="002A1763"/>
    <w:rsid w:val="002A26B9"/>
    <w:rsid w:val="002A79A4"/>
    <w:rsid w:val="002A7E8F"/>
    <w:rsid w:val="002B29DA"/>
    <w:rsid w:val="002B4273"/>
    <w:rsid w:val="002C7DD3"/>
    <w:rsid w:val="002D30A1"/>
    <w:rsid w:val="002D359D"/>
    <w:rsid w:val="002D4B7C"/>
    <w:rsid w:val="002E43A1"/>
    <w:rsid w:val="00301DD4"/>
    <w:rsid w:val="003130C8"/>
    <w:rsid w:val="003229C3"/>
    <w:rsid w:val="00326583"/>
    <w:rsid w:val="00327465"/>
    <w:rsid w:val="003277BB"/>
    <w:rsid w:val="003471ED"/>
    <w:rsid w:val="0036441C"/>
    <w:rsid w:val="003738EF"/>
    <w:rsid w:val="003805CD"/>
    <w:rsid w:val="0039297B"/>
    <w:rsid w:val="003A110C"/>
    <w:rsid w:val="003A1179"/>
    <w:rsid w:val="003A1BBA"/>
    <w:rsid w:val="003B2360"/>
    <w:rsid w:val="003E1F78"/>
    <w:rsid w:val="003E4BBB"/>
    <w:rsid w:val="003F0131"/>
    <w:rsid w:val="003F3433"/>
    <w:rsid w:val="0042679F"/>
    <w:rsid w:val="00437C55"/>
    <w:rsid w:val="0044674B"/>
    <w:rsid w:val="00457EE2"/>
    <w:rsid w:val="00461451"/>
    <w:rsid w:val="00490355"/>
    <w:rsid w:val="00492567"/>
    <w:rsid w:val="004928CD"/>
    <w:rsid w:val="004962C5"/>
    <w:rsid w:val="00497028"/>
    <w:rsid w:val="004A26BF"/>
    <w:rsid w:val="004A68C2"/>
    <w:rsid w:val="004B2C07"/>
    <w:rsid w:val="004C5DF9"/>
    <w:rsid w:val="004D30C4"/>
    <w:rsid w:val="004D7496"/>
    <w:rsid w:val="004E1DE6"/>
    <w:rsid w:val="004E3247"/>
    <w:rsid w:val="004E5B68"/>
    <w:rsid w:val="004F1F98"/>
    <w:rsid w:val="004F58A5"/>
    <w:rsid w:val="005034AC"/>
    <w:rsid w:val="00510976"/>
    <w:rsid w:val="00517C80"/>
    <w:rsid w:val="0052503B"/>
    <w:rsid w:val="00532688"/>
    <w:rsid w:val="005331ED"/>
    <w:rsid w:val="00535EC1"/>
    <w:rsid w:val="00536F25"/>
    <w:rsid w:val="005444C0"/>
    <w:rsid w:val="0055082C"/>
    <w:rsid w:val="00550FB3"/>
    <w:rsid w:val="00556F61"/>
    <w:rsid w:val="00561398"/>
    <w:rsid w:val="00566BC1"/>
    <w:rsid w:val="005824DD"/>
    <w:rsid w:val="005A43CD"/>
    <w:rsid w:val="005C0746"/>
    <w:rsid w:val="005D2858"/>
    <w:rsid w:val="005E0E6F"/>
    <w:rsid w:val="005E1319"/>
    <w:rsid w:val="005E5B18"/>
    <w:rsid w:val="005E7300"/>
    <w:rsid w:val="005F074A"/>
    <w:rsid w:val="005F6E89"/>
    <w:rsid w:val="006101F0"/>
    <w:rsid w:val="0061556F"/>
    <w:rsid w:val="00626168"/>
    <w:rsid w:val="00630C3E"/>
    <w:rsid w:val="00640DAB"/>
    <w:rsid w:val="00657D40"/>
    <w:rsid w:val="006747FA"/>
    <w:rsid w:val="0069364A"/>
    <w:rsid w:val="00695E5F"/>
    <w:rsid w:val="006A3706"/>
    <w:rsid w:val="006B09EF"/>
    <w:rsid w:val="006C4668"/>
    <w:rsid w:val="006C47D4"/>
    <w:rsid w:val="006D72D3"/>
    <w:rsid w:val="006E140A"/>
    <w:rsid w:val="007002B7"/>
    <w:rsid w:val="007008A4"/>
    <w:rsid w:val="00704ECD"/>
    <w:rsid w:val="007069C9"/>
    <w:rsid w:val="007113EA"/>
    <w:rsid w:val="00711C9F"/>
    <w:rsid w:val="00720A52"/>
    <w:rsid w:val="00722080"/>
    <w:rsid w:val="00723984"/>
    <w:rsid w:val="0072465A"/>
    <w:rsid w:val="00735BEC"/>
    <w:rsid w:val="00736D35"/>
    <w:rsid w:val="00765CD2"/>
    <w:rsid w:val="00785854"/>
    <w:rsid w:val="007A0AC8"/>
    <w:rsid w:val="007A501C"/>
    <w:rsid w:val="007A6A4D"/>
    <w:rsid w:val="007B52A6"/>
    <w:rsid w:val="007C4A92"/>
    <w:rsid w:val="007C4D45"/>
    <w:rsid w:val="007D7E04"/>
    <w:rsid w:val="007E385A"/>
    <w:rsid w:val="007E6C24"/>
    <w:rsid w:val="007F5923"/>
    <w:rsid w:val="00806806"/>
    <w:rsid w:val="0082068E"/>
    <w:rsid w:val="008253A5"/>
    <w:rsid w:val="00826124"/>
    <w:rsid w:val="00826F2D"/>
    <w:rsid w:val="00836267"/>
    <w:rsid w:val="00844739"/>
    <w:rsid w:val="0084626E"/>
    <w:rsid w:val="00861A38"/>
    <w:rsid w:val="00866E5B"/>
    <w:rsid w:val="0087045A"/>
    <w:rsid w:val="00872356"/>
    <w:rsid w:val="00876706"/>
    <w:rsid w:val="00884D19"/>
    <w:rsid w:val="00891B52"/>
    <w:rsid w:val="00893112"/>
    <w:rsid w:val="008955D4"/>
    <w:rsid w:val="008955D6"/>
    <w:rsid w:val="008A1BE9"/>
    <w:rsid w:val="008B531B"/>
    <w:rsid w:val="008B6281"/>
    <w:rsid w:val="008C029E"/>
    <w:rsid w:val="008C2C82"/>
    <w:rsid w:val="008C7339"/>
    <w:rsid w:val="008E3C08"/>
    <w:rsid w:val="008E7C7B"/>
    <w:rsid w:val="008F44F5"/>
    <w:rsid w:val="00900FBF"/>
    <w:rsid w:val="00911FBA"/>
    <w:rsid w:val="00913F89"/>
    <w:rsid w:val="009164F6"/>
    <w:rsid w:val="0091710D"/>
    <w:rsid w:val="0092494C"/>
    <w:rsid w:val="0093042B"/>
    <w:rsid w:val="00930647"/>
    <w:rsid w:val="00940974"/>
    <w:rsid w:val="00944A04"/>
    <w:rsid w:val="009459BD"/>
    <w:rsid w:val="009563B1"/>
    <w:rsid w:val="00960C5A"/>
    <w:rsid w:val="00981A4C"/>
    <w:rsid w:val="00987B42"/>
    <w:rsid w:val="00991C7F"/>
    <w:rsid w:val="00991CB0"/>
    <w:rsid w:val="00994B73"/>
    <w:rsid w:val="0099730F"/>
    <w:rsid w:val="009A0588"/>
    <w:rsid w:val="009A4692"/>
    <w:rsid w:val="009A651C"/>
    <w:rsid w:val="009B325C"/>
    <w:rsid w:val="009C364D"/>
    <w:rsid w:val="009C640D"/>
    <w:rsid w:val="009D5E44"/>
    <w:rsid w:val="009E0C45"/>
    <w:rsid w:val="009E2BE4"/>
    <w:rsid w:val="009F6E85"/>
    <w:rsid w:val="00A20EF8"/>
    <w:rsid w:val="00A30939"/>
    <w:rsid w:val="00A57E79"/>
    <w:rsid w:val="00A72F50"/>
    <w:rsid w:val="00A91DC5"/>
    <w:rsid w:val="00A92D0E"/>
    <w:rsid w:val="00AB7201"/>
    <w:rsid w:val="00AB7FDA"/>
    <w:rsid w:val="00AC056C"/>
    <w:rsid w:val="00B00529"/>
    <w:rsid w:val="00B10A5B"/>
    <w:rsid w:val="00B12D6A"/>
    <w:rsid w:val="00B13545"/>
    <w:rsid w:val="00B1698E"/>
    <w:rsid w:val="00B33482"/>
    <w:rsid w:val="00B62E35"/>
    <w:rsid w:val="00B74006"/>
    <w:rsid w:val="00B74087"/>
    <w:rsid w:val="00B80C87"/>
    <w:rsid w:val="00BE1621"/>
    <w:rsid w:val="00BE513A"/>
    <w:rsid w:val="00BE6511"/>
    <w:rsid w:val="00BF337B"/>
    <w:rsid w:val="00C15D26"/>
    <w:rsid w:val="00C17480"/>
    <w:rsid w:val="00C21209"/>
    <w:rsid w:val="00C2507D"/>
    <w:rsid w:val="00C26F9A"/>
    <w:rsid w:val="00C37E1B"/>
    <w:rsid w:val="00C420E9"/>
    <w:rsid w:val="00C539C0"/>
    <w:rsid w:val="00C549F6"/>
    <w:rsid w:val="00C56C03"/>
    <w:rsid w:val="00C62028"/>
    <w:rsid w:val="00C6578D"/>
    <w:rsid w:val="00C66A12"/>
    <w:rsid w:val="00C775D0"/>
    <w:rsid w:val="00C85A7B"/>
    <w:rsid w:val="00CA49E4"/>
    <w:rsid w:val="00CA5A28"/>
    <w:rsid w:val="00CB096D"/>
    <w:rsid w:val="00CB69E1"/>
    <w:rsid w:val="00CC5072"/>
    <w:rsid w:val="00CD1DF8"/>
    <w:rsid w:val="00CE178C"/>
    <w:rsid w:val="00CE1B40"/>
    <w:rsid w:val="00CE218B"/>
    <w:rsid w:val="00CE77BC"/>
    <w:rsid w:val="00CF5AB0"/>
    <w:rsid w:val="00D102E0"/>
    <w:rsid w:val="00D1095E"/>
    <w:rsid w:val="00D13A00"/>
    <w:rsid w:val="00D1571A"/>
    <w:rsid w:val="00D221F4"/>
    <w:rsid w:val="00D2275F"/>
    <w:rsid w:val="00D3151E"/>
    <w:rsid w:val="00D31DFF"/>
    <w:rsid w:val="00D479A8"/>
    <w:rsid w:val="00D53CA4"/>
    <w:rsid w:val="00D6550E"/>
    <w:rsid w:val="00D66B8B"/>
    <w:rsid w:val="00D710CC"/>
    <w:rsid w:val="00D74E6A"/>
    <w:rsid w:val="00D77C29"/>
    <w:rsid w:val="00D80D77"/>
    <w:rsid w:val="00D87EA3"/>
    <w:rsid w:val="00D95514"/>
    <w:rsid w:val="00D96A15"/>
    <w:rsid w:val="00DA49BE"/>
    <w:rsid w:val="00DA5432"/>
    <w:rsid w:val="00DC5395"/>
    <w:rsid w:val="00DD5CBA"/>
    <w:rsid w:val="00DE590D"/>
    <w:rsid w:val="00DE7F84"/>
    <w:rsid w:val="00DF1ACD"/>
    <w:rsid w:val="00DF74E8"/>
    <w:rsid w:val="00E023D1"/>
    <w:rsid w:val="00E14D99"/>
    <w:rsid w:val="00E4044D"/>
    <w:rsid w:val="00E40557"/>
    <w:rsid w:val="00E4484D"/>
    <w:rsid w:val="00E50641"/>
    <w:rsid w:val="00E50D08"/>
    <w:rsid w:val="00E52E38"/>
    <w:rsid w:val="00E530A5"/>
    <w:rsid w:val="00E55B98"/>
    <w:rsid w:val="00E75124"/>
    <w:rsid w:val="00E82C13"/>
    <w:rsid w:val="00E82FF6"/>
    <w:rsid w:val="00E90031"/>
    <w:rsid w:val="00E9223F"/>
    <w:rsid w:val="00EB4A98"/>
    <w:rsid w:val="00EB7F33"/>
    <w:rsid w:val="00ED4840"/>
    <w:rsid w:val="00EF789A"/>
    <w:rsid w:val="00F1433F"/>
    <w:rsid w:val="00F14DE0"/>
    <w:rsid w:val="00F16DA6"/>
    <w:rsid w:val="00F24C80"/>
    <w:rsid w:val="00F362A1"/>
    <w:rsid w:val="00F43A0E"/>
    <w:rsid w:val="00F5085A"/>
    <w:rsid w:val="00F563F6"/>
    <w:rsid w:val="00F5658F"/>
    <w:rsid w:val="00F56A33"/>
    <w:rsid w:val="00F64830"/>
    <w:rsid w:val="00F65553"/>
    <w:rsid w:val="00F732A7"/>
    <w:rsid w:val="00F73D88"/>
    <w:rsid w:val="00F748B2"/>
    <w:rsid w:val="00F7781F"/>
    <w:rsid w:val="00FA663B"/>
    <w:rsid w:val="00FA6935"/>
    <w:rsid w:val="00FB2709"/>
    <w:rsid w:val="00FB6445"/>
    <w:rsid w:val="00FC3843"/>
    <w:rsid w:val="00FC6956"/>
    <w:rsid w:val="00FC7214"/>
    <w:rsid w:val="00FF1349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5d76b8"/>
    </o:shapedefaults>
    <o:shapelayout v:ext="edit">
      <o:idmap v:ext="edit" data="1"/>
    </o:shapelayout>
  </w:shapeDefaults>
  <w:decimalSymbol w:val=","/>
  <w:listSeparator w:val=";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kommentar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B39F-F88D-42BC-9069-5552EF2E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1</TotalTime>
  <Pages>2</Pages>
  <Words>361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3</cp:revision>
  <cp:lastPrinted>2017-07-13T07:38:00Z</cp:lastPrinted>
  <dcterms:created xsi:type="dcterms:W3CDTF">2017-07-13T07:37:00Z</dcterms:created>
  <dcterms:modified xsi:type="dcterms:W3CDTF">2017-07-13T07:38:00Z</dcterms:modified>
</cp:coreProperties>
</file>