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64" w:rsidRDefault="00EC6F64" w:rsidP="00EC6F64">
      <w:pPr>
        <w:rPr>
          <w:rFonts w:ascii="Verdana" w:hAnsi="Verdana" w:cs="Arial"/>
          <w:color w:val="000000"/>
          <w:sz w:val="17"/>
          <w:szCs w:val="17"/>
          <w:lang w:val="en"/>
        </w:rPr>
      </w:pPr>
      <w:r>
        <w:rPr>
          <w:rFonts w:ascii="Verdana" w:hAnsi="Verdana" w:cs="Arial"/>
          <w:color w:val="000000"/>
          <w:sz w:val="17"/>
          <w:szCs w:val="17"/>
          <w:lang w:val="en"/>
        </w:rPr>
        <w:t xml:space="preserve">25 May 2011 06:58 </w:t>
      </w:r>
    </w:p>
    <w:p w:rsidR="00EC6F64" w:rsidRDefault="00EC6F64" w:rsidP="00EC6F64">
      <w:pPr>
        <w:rPr>
          <w:rFonts w:ascii="Arial" w:hAnsi="Arial" w:cs="Arial"/>
          <w:b/>
          <w:bCs/>
          <w:caps/>
          <w:color w:val="BA3209"/>
          <w:sz w:val="20"/>
          <w:szCs w:val="20"/>
          <w:lang w:val="en"/>
        </w:rPr>
      </w:pPr>
      <w:r>
        <w:rPr>
          <w:rFonts w:ascii="Arial" w:hAnsi="Arial" w:cs="Arial"/>
          <w:b/>
          <w:bCs/>
          <w:caps/>
          <w:color w:val="BA3209"/>
          <w:sz w:val="20"/>
          <w:szCs w:val="20"/>
          <w:lang w:val="en"/>
        </w:rPr>
        <w:t xml:space="preserve">UCB to conduct first anti-TNF head-to-head study between Cimzia® (certolizumab pegol) and Humira®* (adalimumab) </w:t>
      </w:r>
    </w:p>
    <w:p w:rsidR="00EC6F64" w:rsidRDefault="00EC6F64" w:rsidP="00EC6F64">
      <w:pPr>
        <w:spacing w:line="0" w:lineRule="atLeast"/>
        <w:rPr>
          <w:rFonts w:ascii="Verdana" w:hAnsi="Verdana" w:cs="Arial"/>
          <w:color w:val="000000"/>
          <w:sz w:val="2"/>
          <w:szCs w:val="2"/>
          <w:lang w:val="en"/>
        </w:rPr>
      </w:pPr>
      <w:r>
        <w:rPr>
          <w:rFonts w:ascii="Verdana" w:hAnsi="Verdana" w:cs="Arial"/>
          <w:color w:val="000000"/>
          <w:sz w:val="2"/>
          <w:szCs w:val="2"/>
          <w:lang w:val="en"/>
        </w:rPr>
        <w:t> </w:t>
      </w:r>
    </w:p>
    <w:p w:rsidR="00EC6F64" w:rsidRDefault="00EC6F64" w:rsidP="00EC6F64">
      <w:pPr>
        <w:spacing w:line="0" w:lineRule="atLeast"/>
        <w:rPr>
          <w:rFonts w:ascii="Verdana" w:hAnsi="Verdana" w:cs="Arial"/>
          <w:color w:val="000000"/>
          <w:sz w:val="2"/>
          <w:szCs w:val="2"/>
          <w:lang w:val="en"/>
        </w:rPr>
      </w:pPr>
      <w:r>
        <w:rPr>
          <w:rFonts w:ascii="Verdana" w:hAnsi="Verdana" w:cs="Arial"/>
          <w:color w:val="000000"/>
          <w:sz w:val="2"/>
          <w:szCs w:val="2"/>
          <w:lang w:val="en"/>
        </w:rPr>
        <w:t> </w:t>
      </w:r>
    </w:p>
    <w:p w:rsidR="00EC6F64" w:rsidRDefault="00EC6F64" w:rsidP="00EC6F64">
      <w:pPr>
        <w:spacing w:after="240"/>
        <w:rPr>
          <w:rFonts w:ascii="Verdana" w:hAnsi="Verdana" w:cs="Arial"/>
          <w:color w:val="000000"/>
          <w:sz w:val="17"/>
          <w:szCs w:val="17"/>
          <w:lang w:val="en"/>
        </w:rPr>
      </w:pPr>
    </w:p>
    <w:p w:rsidR="00EC6F64" w:rsidRDefault="00EC6F64" w:rsidP="00EC6F64">
      <w:pPr>
        <w:pStyle w:val="NormalWeb"/>
        <w:rPr>
          <w:rFonts w:ascii="Arial" w:hAnsi="Arial" w:cs="Arial"/>
          <w:b/>
          <w:bCs/>
          <w:sz w:val="19"/>
          <w:szCs w:val="19"/>
          <w:lang w:val="en"/>
        </w:rPr>
      </w:pPr>
      <w:r>
        <w:rPr>
          <w:rFonts w:ascii="Arial" w:hAnsi="Arial" w:cs="Arial"/>
          <w:b/>
          <w:bCs/>
          <w:sz w:val="19"/>
          <w:szCs w:val="19"/>
          <w:lang w:val="en"/>
        </w:rPr>
        <w:t xml:space="preserve">• First blinded and </w:t>
      </w:r>
      <w:proofErr w:type="spellStart"/>
      <w:r>
        <w:rPr>
          <w:rFonts w:ascii="Arial" w:hAnsi="Arial" w:cs="Arial"/>
          <w:b/>
          <w:bCs/>
          <w:sz w:val="19"/>
          <w:szCs w:val="19"/>
          <w:lang w:val="en"/>
        </w:rPr>
        <w:t>randomised</w:t>
      </w:r>
      <w:proofErr w:type="spellEnd"/>
      <w:r>
        <w:rPr>
          <w:rFonts w:ascii="Arial" w:hAnsi="Arial" w:cs="Arial"/>
          <w:b/>
          <w:bCs/>
          <w:sz w:val="19"/>
          <w:szCs w:val="19"/>
          <w:lang w:val="en"/>
        </w:rPr>
        <w:t xml:space="preserve"> study comparing effectiveness of two anti-TNF agents for the treatment of rheumatoid arthritis</w:t>
      </w:r>
      <w:r>
        <w:rPr>
          <w:rFonts w:ascii="Arial" w:hAnsi="Arial" w:cs="Arial"/>
          <w:b/>
          <w:bCs/>
          <w:sz w:val="19"/>
          <w:szCs w:val="19"/>
          <w:lang w:val="en"/>
        </w:rPr>
        <w:br/>
        <w:t>• Study to evaluate the relative clinical and treatment outcomes of the two anti-TNF agents based upon clinical response at Week 12</w:t>
      </w:r>
    </w:p>
    <w:p w:rsidR="00EC6F64" w:rsidRDefault="00EC6F64" w:rsidP="00EC6F64">
      <w:pPr>
        <w:rPr>
          <w:rFonts w:ascii="Verdana" w:hAnsi="Verdana" w:cs="Arial"/>
          <w:color w:val="000000"/>
          <w:sz w:val="17"/>
          <w:szCs w:val="17"/>
          <w:lang w:val="en"/>
        </w:rPr>
      </w:pPr>
    </w:p>
    <w:p w:rsidR="00EC6F64" w:rsidRDefault="00EC6F64" w:rsidP="00EC6F64">
      <w:pPr>
        <w:pStyle w:val="NormalWeb"/>
        <w:spacing w:after="240"/>
        <w:rPr>
          <w:rFonts w:ascii="Verdana" w:hAnsi="Verdana" w:cs="Arial"/>
          <w:sz w:val="21"/>
          <w:szCs w:val="21"/>
          <w:lang w:val="en"/>
        </w:rPr>
      </w:pPr>
      <w:hyperlink r:id="rId5" w:history="1">
        <w:r>
          <w:rPr>
            <w:rStyle w:val="Strong"/>
            <w:rFonts w:ascii="Arial" w:hAnsi="Arial" w:cs="Arial"/>
            <w:caps/>
            <w:sz w:val="15"/>
            <w:szCs w:val="15"/>
            <w:lang w:val="en"/>
          </w:rPr>
          <w:t>Vers la version en français</w:t>
        </w:r>
        <w:r>
          <w:rPr>
            <w:rFonts w:ascii="Arial" w:hAnsi="Arial" w:cs="Arial"/>
            <w:b/>
            <w:bCs/>
            <w:caps/>
            <w:sz w:val="15"/>
            <w:szCs w:val="15"/>
            <w:lang w:val="en"/>
          </w:rPr>
          <w:br/>
        </w:r>
      </w:hyperlink>
      <w:hyperlink r:id="rId6" w:history="1">
        <w:r>
          <w:rPr>
            <w:rStyle w:val="Strong"/>
            <w:rFonts w:ascii="Arial" w:hAnsi="Arial" w:cs="Arial"/>
            <w:caps/>
            <w:sz w:val="15"/>
            <w:szCs w:val="15"/>
            <w:lang w:val="en"/>
          </w:rPr>
          <w:t>Naar de Nederlandstalige versie</w:t>
        </w:r>
        <w:r>
          <w:rPr>
            <w:rFonts w:ascii="Arial" w:hAnsi="Arial" w:cs="Arial"/>
            <w:b/>
            <w:bCs/>
            <w:caps/>
            <w:sz w:val="15"/>
            <w:szCs w:val="15"/>
            <w:lang w:val="en"/>
          </w:rPr>
          <w:br/>
        </w:r>
      </w:hyperlink>
      <w:r>
        <w:rPr>
          <w:rFonts w:ascii="Verdana" w:hAnsi="Verdana" w:cs="Arial"/>
          <w:sz w:val="21"/>
          <w:szCs w:val="21"/>
          <w:lang w:val="en"/>
        </w:rPr>
        <w:br/>
      </w:r>
      <w:r>
        <w:rPr>
          <w:rStyle w:val="Strong"/>
          <w:rFonts w:ascii="Verdana" w:hAnsi="Verdana" w:cs="Arial"/>
          <w:sz w:val="21"/>
          <w:szCs w:val="21"/>
          <w:lang w:val="en"/>
        </w:rPr>
        <w:t xml:space="preserve">BRUSSELS, 25 May 07:00 (CET) - regulated information </w:t>
      </w:r>
      <w:r>
        <w:rPr>
          <w:rFonts w:ascii="Verdana" w:hAnsi="Verdana" w:cs="Arial"/>
          <w:sz w:val="21"/>
          <w:szCs w:val="21"/>
          <w:lang w:val="en"/>
        </w:rPr>
        <w:t>– UCB today announced its plan to launch the first industry sponsored anti-TNF head-to-head study that will assess the effectiveness of Cimzia® (</w:t>
      </w:r>
      <w:proofErr w:type="spellStart"/>
      <w:r>
        <w:rPr>
          <w:rFonts w:ascii="Verdana" w:hAnsi="Verdana" w:cs="Arial"/>
          <w:sz w:val="21"/>
          <w:szCs w:val="21"/>
          <w:lang w:val="en"/>
        </w:rPr>
        <w:t>certolizumab</w:t>
      </w:r>
      <w:proofErr w:type="spellEnd"/>
      <w:r>
        <w:rPr>
          <w:rFonts w:ascii="Verdana" w:hAnsi="Verdana" w:cs="Arial"/>
          <w:sz w:val="21"/>
          <w:szCs w:val="21"/>
          <w:lang w:val="en"/>
        </w:rPr>
        <w:t xml:space="preserve"> </w:t>
      </w:r>
      <w:proofErr w:type="spellStart"/>
      <w:r>
        <w:rPr>
          <w:rFonts w:ascii="Verdana" w:hAnsi="Verdana" w:cs="Arial"/>
          <w:sz w:val="21"/>
          <w:szCs w:val="21"/>
          <w:lang w:val="en"/>
        </w:rPr>
        <w:t>pegol</w:t>
      </w:r>
      <w:proofErr w:type="spellEnd"/>
      <w:r>
        <w:rPr>
          <w:rFonts w:ascii="Verdana" w:hAnsi="Verdana" w:cs="Arial"/>
          <w:sz w:val="21"/>
          <w:szCs w:val="21"/>
          <w:lang w:val="en"/>
        </w:rPr>
        <w:t>) and Humira® (</w:t>
      </w:r>
      <w:proofErr w:type="spellStart"/>
      <w:r>
        <w:rPr>
          <w:rFonts w:ascii="Verdana" w:hAnsi="Verdana" w:cs="Arial"/>
          <w:sz w:val="21"/>
          <w:szCs w:val="21"/>
          <w:lang w:val="en"/>
        </w:rPr>
        <w:t>adalimumab</w:t>
      </w:r>
      <w:proofErr w:type="spellEnd"/>
      <w:r>
        <w:rPr>
          <w:rFonts w:ascii="Verdana" w:hAnsi="Verdana" w:cs="Arial"/>
          <w:sz w:val="21"/>
          <w:szCs w:val="21"/>
          <w:lang w:val="en"/>
        </w:rPr>
        <w:t>) in the treatment of moderate to severe rheumatoid arthritis (RA). The study will include a 12 week response-based therapeutic decision and assess the impact of an early response and decision on long-term (104 weeks) clinical and patient outcomes. The EULAR 2010 Recommendations and those from an International task force, The Treat-to-Target Expert Committee, state that appropriate therapeutic adaptation to reach treatment targets of remission or low disease activity should be made to reach the desired state within 3 to a maximum of 6 months.</w:t>
      </w:r>
      <w:r>
        <w:rPr>
          <w:rFonts w:ascii="Verdana" w:hAnsi="Verdana" w:cs="Arial"/>
          <w:sz w:val="21"/>
          <w:szCs w:val="21"/>
          <w:vertAlign w:val="superscript"/>
          <w:lang w:val="en"/>
        </w:rPr>
        <w:t>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5"/>
        <w:gridCol w:w="4571"/>
      </w:tblGrid>
      <w:tr w:rsidR="00EC6F64" w:rsidRPr="00EC6F64" w:rsidTr="00EC6F64">
        <w:trPr>
          <w:tblCellSpacing w:w="15" w:type="dxa"/>
        </w:trPr>
        <w:tc>
          <w:tcPr>
            <w:tcW w:w="0" w:type="auto"/>
            <w:vAlign w:val="center"/>
            <w:hideMark/>
          </w:tcPr>
          <w:p w:rsidR="00EC6F64" w:rsidRDefault="00EC6F64">
            <w:pPr>
              <w:rPr>
                <w:rFonts w:ascii="Verdana" w:hAnsi="Verdana" w:cs="Arial"/>
                <w:color w:val="000000"/>
                <w:sz w:val="17"/>
                <w:szCs w:val="17"/>
              </w:rPr>
            </w:pPr>
            <w:r>
              <w:rPr>
                <w:rFonts w:ascii="Arial" w:hAnsi="Arial" w:cs="Arial"/>
                <w:caps/>
                <w:noProof/>
                <w:color w:val="000000"/>
                <w:sz w:val="15"/>
                <w:szCs w:val="15"/>
                <w:lang w:val="en-US" w:eastAsia="en-US"/>
              </w:rPr>
              <w:drawing>
                <wp:inline distT="0" distB="0" distL="0" distR="0">
                  <wp:extent cx="2381250" cy="3571875"/>
                  <wp:effectExtent l="0" t="0" r="0" b="9525"/>
                  <wp:docPr id="1" name="Picture 1" descr="Iris Löw-Friedric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 Löw-Friedrich">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3571875"/>
                          </a:xfrm>
                          <a:prstGeom prst="rect">
                            <a:avLst/>
                          </a:prstGeom>
                          <a:noFill/>
                          <a:ln>
                            <a:noFill/>
                          </a:ln>
                        </pic:spPr>
                      </pic:pic>
                    </a:graphicData>
                  </a:graphic>
                </wp:inline>
              </w:drawing>
            </w:r>
          </w:p>
        </w:tc>
        <w:tc>
          <w:tcPr>
            <w:tcW w:w="0" w:type="auto"/>
            <w:vAlign w:val="center"/>
            <w:hideMark/>
          </w:tcPr>
          <w:p w:rsidR="00EC6F64" w:rsidRPr="00EC6F64" w:rsidRDefault="00EC6F64">
            <w:pPr>
              <w:rPr>
                <w:rFonts w:ascii="Verdana" w:hAnsi="Verdana" w:cs="Arial"/>
                <w:color w:val="000000"/>
                <w:sz w:val="17"/>
                <w:szCs w:val="17"/>
                <w:lang w:val="en-US"/>
              </w:rPr>
            </w:pPr>
            <w:r w:rsidRPr="00EC6F64">
              <w:rPr>
                <w:rFonts w:ascii="Verdana" w:hAnsi="Verdana" w:cs="Arial"/>
                <w:color w:val="000000"/>
                <w:sz w:val="17"/>
                <w:szCs w:val="17"/>
                <w:lang w:val="en-US"/>
              </w:rPr>
              <w:t>“We are delighted to announce our plan to launch this head-to-head study. We believe the study will provide additional evidence that the ability to make an informed and early treatment decision is important for the treatment of this severe and progressing disease,” said Professor Dr Iris Loew-Friedrich, Chief Medical Officer of UCB, Belgium.</w:t>
            </w:r>
          </w:p>
        </w:tc>
      </w:tr>
    </w:tbl>
    <w:p w:rsidR="00EC6F64" w:rsidRDefault="00EC6F64" w:rsidP="00EC6F64">
      <w:pPr>
        <w:rPr>
          <w:rFonts w:ascii="Verdana" w:hAnsi="Verdana" w:cs="Arial"/>
          <w:color w:val="000000"/>
          <w:sz w:val="19"/>
          <w:szCs w:val="19"/>
          <w:lang w:val="en"/>
        </w:rPr>
      </w:pPr>
      <w:r>
        <w:rPr>
          <w:rFonts w:ascii="Verdana" w:hAnsi="Verdana" w:cs="Arial"/>
          <w:color w:val="000000"/>
          <w:sz w:val="19"/>
          <w:szCs w:val="19"/>
          <w:lang w:val="en"/>
        </w:rPr>
        <w:br/>
        <w:t>Persistent active disease is a predisposing factor of subsequent disease severity, such as progressive joint damage, irreversible disability and increased mortality</w:t>
      </w:r>
      <w:r>
        <w:rPr>
          <w:rFonts w:ascii="Verdana" w:hAnsi="Verdana" w:cs="Arial"/>
          <w:color w:val="000000"/>
          <w:sz w:val="19"/>
          <w:szCs w:val="19"/>
          <w:vertAlign w:val="superscript"/>
          <w:lang w:val="en"/>
        </w:rPr>
        <w:t>3-6</w:t>
      </w:r>
      <w:r>
        <w:rPr>
          <w:rFonts w:ascii="Verdana" w:hAnsi="Verdana" w:cs="Arial"/>
          <w:color w:val="000000"/>
          <w:sz w:val="19"/>
          <w:szCs w:val="19"/>
          <w:lang w:val="en"/>
        </w:rPr>
        <w:t>. Therefore, stopping inflammation rapidly can be an important therapeutic goal and several studies have shown that achieving control of disease activity, ideally rapid control, has led to improved long term outcomes for patients with RA.</w:t>
      </w:r>
      <w:r>
        <w:rPr>
          <w:rFonts w:ascii="Verdana" w:hAnsi="Verdana" w:cs="Arial"/>
          <w:color w:val="000000"/>
          <w:sz w:val="19"/>
          <w:szCs w:val="19"/>
          <w:vertAlign w:val="superscript"/>
          <w:lang w:val="en"/>
        </w:rPr>
        <w:t>7,8</w:t>
      </w:r>
      <w:r>
        <w:rPr>
          <w:rFonts w:ascii="Verdana" w:hAnsi="Verdana" w:cs="Arial"/>
          <w:color w:val="000000"/>
          <w:sz w:val="19"/>
          <w:szCs w:val="19"/>
          <w:lang w:val="en"/>
        </w:rPr>
        <w:t xml:space="preserve"> </w:t>
      </w:r>
      <w:r>
        <w:rPr>
          <w:rFonts w:ascii="Verdana" w:hAnsi="Verdana" w:cs="Arial"/>
          <w:color w:val="000000"/>
          <w:sz w:val="19"/>
          <w:szCs w:val="19"/>
          <w:lang w:val="en"/>
        </w:rPr>
        <w:br/>
      </w:r>
      <w:r>
        <w:rPr>
          <w:rFonts w:ascii="Verdana" w:hAnsi="Verdana" w:cs="Arial"/>
          <w:color w:val="000000"/>
          <w:sz w:val="19"/>
          <w:szCs w:val="19"/>
          <w:lang w:val="en"/>
        </w:rPr>
        <w:lastRenderedPageBreak/>
        <w:br/>
      </w:r>
      <w:bookmarkStart w:id="0" w:name="_GoBack"/>
      <w:bookmarkEnd w:id="0"/>
      <w:r>
        <w:rPr>
          <w:rFonts w:ascii="Verdana" w:hAnsi="Verdana" w:cs="Arial"/>
          <w:color w:val="000000"/>
          <w:sz w:val="19"/>
          <w:szCs w:val="19"/>
          <w:lang w:val="en"/>
        </w:rPr>
        <w:t xml:space="preserve">The study will </w:t>
      </w:r>
      <w:proofErr w:type="spellStart"/>
      <w:r>
        <w:rPr>
          <w:rFonts w:ascii="Verdana" w:hAnsi="Verdana" w:cs="Arial"/>
          <w:color w:val="000000"/>
          <w:sz w:val="19"/>
          <w:szCs w:val="19"/>
          <w:lang w:val="en"/>
        </w:rPr>
        <w:t>randomise</w:t>
      </w:r>
      <w:proofErr w:type="spellEnd"/>
      <w:r>
        <w:rPr>
          <w:rFonts w:ascii="Verdana" w:hAnsi="Verdana" w:cs="Arial"/>
          <w:color w:val="000000"/>
          <w:sz w:val="19"/>
          <w:szCs w:val="19"/>
          <w:lang w:val="en"/>
        </w:rPr>
        <w:t xml:space="preserve"> patients to either </w:t>
      </w:r>
      <w:proofErr w:type="spellStart"/>
      <w:r>
        <w:rPr>
          <w:rFonts w:ascii="Verdana" w:hAnsi="Verdana" w:cs="Arial"/>
          <w:color w:val="000000"/>
          <w:sz w:val="19"/>
          <w:szCs w:val="19"/>
          <w:lang w:val="en"/>
        </w:rPr>
        <w:t>certolizumab</w:t>
      </w:r>
      <w:proofErr w:type="spellEnd"/>
      <w:r>
        <w:rPr>
          <w:rFonts w:ascii="Verdana" w:hAnsi="Verdana" w:cs="Arial"/>
          <w:color w:val="000000"/>
          <w:sz w:val="19"/>
          <w:szCs w:val="19"/>
          <w:lang w:val="en"/>
        </w:rPr>
        <w:t xml:space="preserve"> </w:t>
      </w:r>
      <w:proofErr w:type="spellStart"/>
      <w:r>
        <w:rPr>
          <w:rFonts w:ascii="Verdana" w:hAnsi="Verdana" w:cs="Arial"/>
          <w:color w:val="000000"/>
          <w:sz w:val="19"/>
          <w:szCs w:val="19"/>
          <w:lang w:val="en"/>
        </w:rPr>
        <w:t>pegol</w:t>
      </w:r>
      <w:proofErr w:type="spellEnd"/>
      <w:r>
        <w:rPr>
          <w:rFonts w:ascii="Verdana" w:hAnsi="Verdana" w:cs="Arial"/>
          <w:color w:val="000000"/>
          <w:sz w:val="19"/>
          <w:szCs w:val="19"/>
          <w:lang w:val="en"/>
        </w:rPr>
        <w:t xml:space="preserve"> plus methotrexate (MTX) or </w:t>
      </w:r>
      <w:proofErr w:type="spellStart"/>
      <w:r>
        <w:rPr>
          <w:rFonts w:ascii="Verdana" w:hAnsi="Verdana" w:cs="Arial"/>
          <w:color w:val="000000"/>
          <w:sz w:val="19"/>
          <w:szCs w:val="19"/>
          <w:lang w:val="en"/>
        </w:rPr>
        <w:t>adalimumab</w:t>
      </w:r>
      <w:proofErr w:type="spellEnd"/>
      <w:r>
        <w:rPr>
          <w:rFonts w:ascii="Verdana" w:hAnsi="Verdana" w:cs="Arial"/>
          <w:color w:val="000000"/>
          <w:sz w:val="19"/>
          <w:szCs w:val="19"/>
          <w:lang w:val="en"/>
        </w:rPr>
        <w:t xml:space="preserve"> plus MTX for 12 weeks, after which patients who respond will continue on their treatment whereas non-responders will switch to the alternative treatment arm until study end at 104 weeks. The worldwide study aims to recruit patients with moderate-to-severe RA who have inadequately responded to MTX and who have not previously received anti-TNF treatment. </w:t>
      </w:r>
      <w:r>
        <w:rPr>
          <w:rFonts w:ascii="Verdana" w:hAnsi="Verdana" w:cs="Arial"/>
          <w:color w:val="000000"/>
          <w:sz w:val="19"/>
          <w:szCs w:val="19"/>
          <w:lang w:val="en"/>
        </w:rPr>
        <w:br/>
      </w:r>
      <w:r>
        <w:rPr>
          <w:rFonts w:ascii="Verdana" w:hAnsi="Verdana" w:cs="Arial"/>
          <w:color w:val="000000"/>
          <w:sz w:val="19"/>
          <w:szCs w:val="19"/>
          <w:lang w:val="en"/>
        </w:rPr>
        <w:br/>
      </w:r>
      <w:r>
        <w:rPr>
          <w:rFonts w:ascii="Verdana" w:hAnsi="Verdana" w:cs="Arial"/>
          <w:color w:val="000000"/>
          <w:sz w:val="15"/>
          <w:szCs w:val="15"/>
          <w:lang w:val="en"/>
        </w:rPr>
        <w:t>* Humira® is a registered trademark of Abbott</w:t>
      </w:r>
      <w:r>
        <w:rPr>
          <w:rFonts w:ascii="Verdana" w:hAnsi="Verdana" w:cs="Arial"/>
          <w:color w:val="000000"/>
          <w:sz w:val="15"/>
          <w:szCs w:val="15"/>
          <w:lang w:val="en"/>
        </w:rPr>
        <w:br/>
      </w:r>
      <w:r>
        <w:rPr>
          <w:rFonts w:ascii="Verdana" w:hAnsi="Verdana" w:cs="Arial"/>
          <w:color w:val="000000"/>
          <w:sz w:val="19"/>
          <w:szCs w:val="19"/>
          <w:lang w:val="en"/>
        </w:rPr>
        <w:br/>
      </w:r>
      <w:r>
        <w:rPr>
          <w:rStyle w:val="Strong"/>
          <w:rFonts w:ascii="Verdana" w:hAnsi="Verdana" w:cs="Arial"/>
          <w:i/>
          <w:iCs/>
          <w:color w:val="000000"/>
          <w:sz w:val="19"/>
          <w:szCs w:val="19"/>
          <w:lang w:val="en"/>
        </w:rPr>
        <w:t>For further Information:</w:t>
      </w:r>
      <w:r>
        <w:rPr>
          <w:rFonts w:ascii="Verdana" w:hAnsi="Verdana" w:cs="Arial"/>
          <w:b/>
          <w:bCs/>
          <w:i/>
          <w:iCs/>
          <w:color w:val="000000"/>
          <w:sz w:val="19"/>
          <w:szCs w:val="19"/>
          <w:lang w:val="en"/>
        </w:rPr>
        <w:br/>
      </w:r>
      <w:r>
        <w:rPr>
          <w:rStyle w:val="Emphasis"/>
          <w:rFonts w:ascii="Verdana" w:hAnsi="Verdana" w:cs="Arial"/>
          <w:color w:val="000000"/>
          <w:sz w:val="19"/>
          <w:szCs w:val="19"/>
          <w:lang w:val="en"/>
        </w:rPr>
        <w:t>Antje Witte, Investor Relations, UCB</w:t>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T +32.2.559.9414, </w:t>
      </w:r>
      <w:hyperlink r:id="rId9" w:history="1">
        <w:r>
          <w:rPr>
            <w:rStyle w:val="Hyperlink"/>
            <w:i/>
            <w:iCs/>
            <w:lang w:val="en"/>
          </w:rPr>
          <w:t>antje.witte@ucb.com</w:t>
        </w:r>
      </w:hyperlink>
      <w:r>
        <w:rPr>
          <w:rFonts w:ascii="Verdana" w:hAnsi="Verdana" w:cs="Arial"/>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Michael Tuck-Sherman, Investor Relations, UCB </w:t>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T +32.2.559.9712, </w:t>
      </w:r>
      <w:hyperlink r:id="rId10" w:history="1">
        <w:r>
          <w:rPr>
            <w:rStyle w:val="Hyperlink"/>
            <w:i/>
            <w:iCs/>
            <w:lang w:val="en"/>
          </w:rPr>
          <w:t>Michael.tuck-sherman@ucb.com</w:t>
        </w:r>
      </w:hyperlink>
      <w:r>
        <w:rPr>
          <w:rFonts w:ascii="Verdana" w:hAnsi="Verdana" w:cs="Arial"/>
          <w:color w:val="000000"/>
          <w:sz w:val="19"/>
          <w:szCs w:val="19"/>
          <w:lang w:val="en"/>
        </w:rPr>
        <w:br/>
      </w:r>
      <w:r>
        <w:rPr>
          <w:rFonts w:ascii="Verdana" w:hAnsi="Verdana" w:cs="Arial"/>
          <w:i/>
          <w:iCs/>
          <w:color w:val="000000"/>
          <w:sz w:val="19"/>
          <w:szCs w:val="19"/>
          <w:lang w:val="en"/>
        </w:rPr>
        <w:br/>
      </w:r>
      <w:r>
        <w:rPr>
          <w:rStyle w:val="Strong"/>
          <w:rFonts w:ascii="Verdana" w:hAnsi="Verdana" w:cs="Arial"/>
          <w:i/>
          <w:iCs/>
          <w:color w:val="000000"/>
          <w:sz w:val="19"/>
          <w:szCs w:val="19"/>
          <w:lang w:val="en"/>
        </w:rPr>
        <w:t>Cimzia® (</w:t>
      </w:r>
      <w:proofErr w:type="spellStart"/>
      <w:r>
        <w:rPr>
          <w:rStyle w:val="Strong"/>
          <w:rFonts w:ascii="Verdana" w:hAnsi="Verdana" w:cs="Arial"/>
          <w:i/>
          <w:iCs/>
          <w:color w:val="000000"/>
          <w:sz w:val="19"/>
          <w:szCs w:val="19"/>
          <w:lang w:val="en"/>
        </w:rPr>
        <w:t>certolizumab</w:t>
      </w:r>
      <w:proofErr w:type="spellEnd"/>
      <w:r>
        <w:rPr>
          <w:rStyle w:val="Strong"/>
          <w:rFonts w:ascii="Verdana" w:hAnsi="Verdana" w:cs="Arial"/>
          <w:i/>
          <w:iCs/>
          <w:color w:val="000000"/>
          <w:sz w:val="19"/>
          <w:szCs w:val="19"/>
          <w:lang w:val="en"/>
        </w:rPr>
        <w:t xml:space="preserve"> </w:t>
      </w:r>
      <w:proofErr w:type="spellStart"/>
      <w:r>
        <w:rPr>
          <w:rStyle w:val="Strong"/>
          <w:rFonts w:ascii="Verdana" w:hAnsi="Verdana" w:cs="Arial"/>
          <w:i/>
          <w:iCs/>
          <w:color w:val="000000"/>
          <w:sz w:val="19"/>
          <w:szCs w:val="19"/>
          <w:lang w:val="en"/>
        </w:rPr>
        <w:t>pegol</w:t>
      </w:r>
      <w:proofErr w:type="spellEnd"/>
      <w:r>
        <w:rPr>
          <w:rStyle w:val="Strong"/>
          <w:rFonts w:ascii="Verdana" w:hAnsi="Verdana" w:cs="Arial"/>
          <w:i/>
          <w:iCs/>
          <w:color w:val="000000"/>
          <w:sz w:val="19"/>
          <w:szCs w:val="19"/>
          <w:lang w:val="en"/>
        </w:rPr>
        <w:t>) in European Union/ EEA important safety information</w:t>
      </w:r>
      <w:r>
        <w:rPr>
          <w:rFonts w:ascii="Verdana" w:hAnsi="Verdana" w:cs="Arial"/>
          <w:b/>
          <w:bCs/>
          <w:i/>
          <w:iCs/>
          <w:color w:val="000000"/>
          <w:sz w:val="19"/>
          <w:szCs w:val="19"/>
          <w:lang w:val="en"/>
        </w:rPr>
        <w:br/>
      </w:r>
      <w:r>
        <w:rPr>
          <w:rStyle w:val="Emphasis"/>
          <w:rFonts w:ascii="Verdana" w:hAnsi="Verdana" w:cs="Arial"/>
          <w:color w:val="000000"/>
          <w:sz w:val="19"/>
          <w:szCs w:val="19"/>
          <w:lang w:val="en"/>
        </w:rPr>
        <w:t xml:space="preserve">Cimzia® was studied in 2367 patients with RA in controlled and open label trials for up to 57 months. The commonly reported adverse reactions (1-10%) in clinical trials with Cimzia® and post-marketing were viral infections (includes herpes, papillomavirus, influenza), bacterial infections (including abscess), rash, headache (including migraine), asthenia, </w:t>
      </w:r>
      <w:proofErr w:type="spellStart"/>
      <w:r>
        <w:rPr>
          <w:rStyle w:val="Emphasis"/>
          <w:rFonts w:ascii="Verdana" w:hAnsi="Verdana" w:cs="Arial"/>
          <w:color w:val="000000"/>
          <w:sz w:val="19"/>
          <w:szCs w:val="19"/>
          <w:lang w:val="en"/>
        </w:rPr>
        <w:t>leukopaenia</w:t>
      </w:r>
      <w:proofErr w:type="spellEnd"/>
      <w:r>
        <w:rPr>
          <w:rStyle w:val="Emphasis"/>
          <w:rFonts w:ascii="Verdana" w:hAnsi="Verdana" w:cs="Arial"/>
          <w:color w:val="000000"/>
          <w:sz w:val="19"/>
          <w:szCs w:val="19"/>
          <w:lang w:val="en"/>
        </w:rPr>
        <w:t xml:space="preserve"> (including </w:t>
      </w:r>
      <w:proofErr w:type="spellStart"/>
      <w:r>
        <w:rPr>
          <w:rStyle w:val="Emphasis"/>
          <w:rFonts w:ascii="Verdana" w:hAnsi="Verdana" w:cs="Arial"/>
          <w:color w:val="000000"/>
          <w:sz w:val="19"/>
          <w:szCs w:val="19"/>
          <w:lang w:val="en"/>
        </w:rPr>
        <w:t>lymphopaenia</w:t>
      </w:r>
      <w:proofErr w:type="spellEnd"/>
      <w:r>
        <w:rPr>
          <w:rStyle w:val="Emphasis"/>
          <w:rFonts w:ascii="Verdana" w:hAnsi="Verdana" w:cs="Arial"/>
          <w:color w:val="000000"/>
          <w:sz w:val="19"/>
          <w:szCs w:val="19"/>
          <w:lang w:val="en"/>
        </w:rPr>
        <w:t xml:space="preserve">, </w:t>
      </w:r>
      <w:proofErr w:type="spellStart"/>
      <w:r>
        <w:rPr>
          <w:rStyle w:val="Emphasis"/>
          <w:rFonts w:ascii="Verdana" w:hAnsi="Verdana" w:cs="Arial"/>
          <w:color w:val="000000"/>
          <w:sz w:val="19"/>
          <w:szCs w:val="19"/>
          <w:lang w:val="en"/>
        </w:rPr>
        <w:t>neutropaenia</w:t>
      </w:r>
      <w:proofErr w:type="spellEnd"/>
      <w:r>
        <w:rPr>
          <w:rStyle w:val="Emphasis"/>
          <w:rFonts w:ascii="Verdana" w:hAnsi="Verdana" w:cs="Arial"/>
          <w:color w:val="000000"/>
          <w:sz w:val="19"/>
          <w:szCs w:val="19"/>
          <w:lang w:val="en"/>
        </w:rPr>
        <w:t xml:space="preserve">), </w:t>
      </w:r>
      <w:proofErr w:type="spellStart"/>
      <w:r>
        <w:rPr>
          <w:rStyle w:val="Emphasis"/>
          <w:rFonts w:ascii="Verdana" w:hAnsi="Verdana" w:cs="Arial"/>
          <w:color w:val="000000"/>
          <w:sz w:val="19"/>
          <w:szCs w:val="19"/>
          <w:lang w:val="en"/>
        </w:rPr>
        <w:t>eosinophilic</w:t>
      </w:r>
      <w:proofErr w:type="spellEnd"/>
      <w:r>
        <w:rPr>
          <w:rStyle w:val="Emphasis"/>
          <w:rFonts w:ascii="Verdana" w:hAnsi="Verdana" w:cs="Arial"/>
          <w:color w:val="000000"/>
          <w:sz w:val="19"/>
          <w:szCs w:val="19"/>
          <w:lang w:val="en"/>
        </w:rPr>
        <w:t xml:space="preserve"> disorder, pain (any sites), pyrexia, sensory abnormalities, hypertension, </w:t>
      </w:r>
      <w:proofErr w:type="spellStart"/>
      <w:r>
        <w:rPr>
          <w:rStyle w:val="Emphasis"/>
          <w:rFonts w:ascii="Verdana" w:hAnsi="Verdana" w:cs="Arial"/>
          <w:color w:val="000000"/>
          <w:sz w:val="19"/>
          <w:szCs w:val="19"/>
          <w:lang w:val="en"/>
        </w:rPr>
        <w:t>pruritis</w:t>
      </w:r>
      <w:proofErr w:type="spellEnd"/>
      <w:r>
        <w:rPr>
          <w:rStyle w:val="Emphasis"/>
          <w:rFonts w:ascii="Verdana" w:hAnsi="Verdana" w:cs="Arial"/>
          <w:color w:val="000000"/>
          <w:sz w:val="19"/>
          <w:szCs w:val="19"/>
          <w:lang w:val="en"/>
        </w:rPr>
        <w:t xml:space="preserve"> (any sites), hepatitis (including hepatic enzyme increase), injection site reactions. </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Serious adverse reactions include sepsis, opportunistic infections, tuberculosis, herpes zoster, lymphoma, </w:t>
      </w:r>
      <w:proofErr w:type="spellStart"/>
      <w:r>
        <w:rPr>
          <w:rStyle w:val="Emphasis"/>
          <w:rFonts w:ascii="Verdana" w:hAnsi="Verdana" w:cs="Arial"/>
          <w:color w:val="000000"/>
          <w:sz w:val="19"/>
          <w:szCs w:val="19"/>
          <w:lang w:val="en"/>
        </w:rPr>
        <w:t>leukaemia</w:t>
      </w:r>
      <w:proofErr w:type="spellEnd"/>
      <w:r>
        <w:rPr>
          <w:rStyle w:val="Emphasis"/>
          <w:rFonts w:ascii="Verdana" w:hAnsi="Verdana" w:cs="Arial"/>
          <w:color w:val="000000"/>
          <w:sz w:val="19"/>
          <w:szCs w:val="19"/>
          <w:lang w:val="en"/>
        </w:rPr>
        <w:t xml:space="preserve">, solid organ </w:t>
      </w:r>
      <w:proofErr w:type="spellStart"/>
      <w:r>
        <w:rPr>
          <w:rStyle w:val="Emphasis"/>
          <w:rFonts w:ascii="Verdana" w:hAnsi="Verdana" w:cs="Arial"/>
          <w:color w:val="000000"/>
          <w:sz w:val="19"/>
          <w:szCs w:val="19"/>
          <w:lang w:val="en"/>
        </w:rPr>
        <w:t>tumours</w:t>
      </w:r>
      <w:proofErr w:type="spellEnd"/>
      <w:r>
        <w:rPr>
          <w:rStyle w:val="Emphasis"/>
          <w:rFonts w:ascii="Verdana" w:hAnsi="Verdana" w:cs="Arial"/>
          <w:color w:val="000000"/>
          <w:sz w:val="19"/>
          <w:szCs w:val="19"/>
          <w:lang w:val="en"/>
        </w:rPr>
        <w:t xml:space="preserve">, </w:t>
      </w:r>
      <w:proofErr w:type="spellStart"/>
      <w:r>
        <w:rPr>
          <w:rStyle w:val="Emphasis"/>
          <w:rFonts w:ascii="Verdana" w:hAnsi="Verdana" w:cs="Arial"/>
          <w:color w:val="000000"/>
          <w:sz w:val="19"/>
          <w:szCs w:val="19"/>
          <w:lang w:val="en"/>
        </w:rPr>
        <w:t>angioneurotic</w:t>
      </w:r>
      <w:proofErr w:type="spellEnd"/>
      <w:r>
        <w:rPr>
          <w:rStyle w:val="Emphasis"/>
          <w:rFonts w:ascii="Verdana" w:hAnsi="Verdana" w:cs="Arial"/>
          <w:color w:val="000000"/>
          <w:sz w:val="19"/>
          <w:szCs w:val="19"/>
          <w:lang w:val="en"/>
        </w:rPr>
        <w:t xml:space="preserve"> edema, cardiomyopathies (includes heart failure), ischemic coronary artery disorders, </w:t>
      </w:r>
      <w:proofErr w:type="spellStart"/>
      <w:r>
        <w:rPr>
          <w:rStyle w:val="Emphasis"/>
          <w:rFonts w:ascii="Verdana" w:hAnsi="Verdana" w:cs="Arial"/>
          <w:color w:val="000000"/>
          <w:sz w:val="19"/>
          <w:szCs w:val="19"/>
          <w:lang w:val="en"/>
        </w:rPr>
        <w:t>pancytopaenia</w:t>
      </w:r>
      <w:proofErr w:type="spellEnd"/>
      <w:r>
        <w:rPr>
          <w:rStyle w:val="Emphasis"/>
          <w:rFonts w:ascii="Verdana" w:hAnsi="Verdana" w:cs="Arial"/>
          <w:color w:val="000000"/>
          <w:sz w:val="19"/>
          <w:szCs w:val="19"/>
          <w:lang w:val="en"/>
        </w:rPr>
        <w:t xml:space="preserve">, </w:t>
      </w:r>
      <w:proofErr w:type="spellStart"/>
      <w:r>
        <w:rPr>
          <w:rStyle w:val="Emphasis"/>
          <w:rFonts w:ascii="Verdana" w:hAnsi="Verdana" w:cs="Arial"/>
          <w:color w:val="000000"/>
          <w:sz w:val="19"/>
          <w:szCs w:val="19"/>
          <w:lang w:val="en"/>
        </w:rPr>
        <w:t>hypercoagulation</w:t>
      </w:r>
      <w:proofErr w:type="spellEnd"/>
      <w:r>
        <w:rPr>
          <w:rStyle w:val="Emphasis"/>
          <w:rFonts w:ascii="Verdana" w:hAnsi="Verdana" w:cs="Arial"/>
          <w:color w:val="000000"/>
          <w:sz w:val="19"/>
          <w:szCs w:val="19"/>
          <w:lang w:val="en"/>
        </w:rPr>
        <w:t xml:space="preserve"> (including thrombophlebitis, pulmonary embolism), cerebrovascular accident, </w:t>
      </w:r>
      <w:proofErr w:type="spellStart"/>
      <w:r>
        <w:rPr>
          <w:rStyle w:val="Emphasis"/>
          <w:rFonts w:ascii="Verdana" w:hAnsi="Verdana" w:cs="Arial"/>
          <w:color w:val="000000"/>
          <w:sz w:val="19"/>
          <w:szCs w:val="19"/>
          <w:lang w:val="en"/>
        </w:rPr>
        <w:t>vasculitis</w:t>
      </w:r>
      <w:proofErr w:type="spellEnd"/>
      <w:r>
        <w:rPr>
          <w:rStyle w:val="Emphasis"/>
          <w:rFonts w:ascii="Verdana" w:hAnsi="Verdana" w:cs="Arial"/>
          <w:color w:val="000000"/>
          <w:sz w:val="19"/>
          <w:szCs w:val="19"/>
          <w:lang w:val="en"/>
        </w:rPr>
        <w:t>, hepatitis/</w:t>
      </w:r>
      <w:proofErr w:type="spellStart"/>
      <w:r>
        <w:rPr>
          <w:rStyle w:val="Emphasis"/>
          <w:rFonts w:ascii="Verdana" w:hAnsi="Verdana" w:cs="Arial"/>
          <w:color w:val="000000"/>
          <w:sz w:val="19"/>
          <w:szCs w:val="19"/>
          <w:lang w:val="en"/>
        </w:rPr>
        <w:t>hepatopathy</w:t>
      </w:r>
      <w:proofErr w:type="spellEnd"/>
      <w:r>
        <w:rPr>
          <w:rStyle w:val="Emphasis"/>
          <w:rFonts w:ascii="Verdana" w:hAnsi="Verdana" w:cs="Arial"/>
          <w:color w:val="000000"/>
          <w:sz w:val="19"/>
          <w:szCs w:val="19"/>
          <w:lang w:val="en"/>
        </w:rPr>
        <w:t xml:space="preserve"> (includes cirrhosis), and renal impairment/nephropathy (includes nephritis). In RA controlled clinical trials, 5% of patients discontinued taking Cimzia® due to adverse events vs. 2.5% for placebo.</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Cimzia® is contraindicated in patients with hypersensitivity to the active substance or any of the excipients, active tuberculosis or other severe infections such as sepsis or opportunistic infections, moderate to severe heart failure.</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Before initiation of Cimzia®, evaluate patients for </w:t>
      </w:r>
      <w:proofErr w:type="gramStart"/>
      <w:r>
        <w:rPr>
          <w:rStyle w:val="Emphasis"/>
          <w:rFonts w:ascii="Verdana" w:hAnsi="Verdana" w:cs="Arial"/>
          <w:color w:val="000000"/>
          <w:sz w:val="19"/>
          <w:szCs w:val="19"/>
          <w:lang w:val="en"/>
        </w:rPr>
        <w:t>both active or</w:t>
      </w:r>
      <w:proofErr w:type="gramEnd"/>
      <w:r>
        <w:rPr>
          <w:rStyle w:val="Emphasis"/>
          <w:rFonts w:ascii="Verdana" w:hAnsi="Verdana" w:cs="Arial"/>
          <w:color w:val="000000"/>
          <w:sz w:val="19"/>
          <w:szCs w:val="19"/>
          <w:lang w:val="en"/>
        </w:rPr>
        <w:t xml:space="preserve"> inactive (latent) tuberculosis infection. Monitor patients for the development of signs and symptoms of infection during and after treatment with Cimzia®. If an infection develops, monitor carefully, and stop Cimzia® if infection becomes serious. </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TNF blockers including Cimzia® may increase the risk: of reactivation of Hepatitis B Virus (HBV) in patients who are chronic carriers of the virus; of new onset or exacerbation of clinical symptoms and/or radiographic evidence of demyelinating disease; of formation of autoantibodies and uncommonly of the development of a lupus-like syndrome; of severe hypersensitivity reactions. If a patient develops any of these adverse reactions, Cimzia® should be discontinued and appropriate therapy instituted.</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With the current knowledge, a possible risk for the development of lymphomas, </w:t>
      </w:r>
      <w:proofErr w:type="spellStart"/>
      <w:r>
        <w:rPr>
          <w:rStyle w:val="Emphasis"/>
          <w:rFonts w:ascii="Verdana" w:hAnsi="Verdana" w:cs="Arial"/>
          <w:color w:val="000000"/>
          <w:sz w:val="19"/>
          <w:szCs w:val="19"/>
          <w:lang w:val="en"/>
        </w:rPr>
        <w:t>leukaemia</w:t>
      </w:r>
      <w:proofErr w:type="spellEnd"/>
      <w:r>
        <w:rPr>
          <w:rStyle w:val="Emphasis"/>
          <w:rFonts w:ascii="Verdana" w:hAnsi="Verdana" w:cs="Arial"/>
          <w:color w:val="000000"/>
          <w:sz w:val="19"/>
          <w:szCs w:val="19"/>
          <w:lang w:val="en"/>
        </w:rPr>
        <w:t xml:space="preserve"> or other malignancies in patients treated with a TNF antagonist cannot be excluded. Rare cases of neurological disorders, including seizure disorder, neuritis and peripheral neuropathy, have been reported in patients treated with Cimzia®.</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Adverse reactions of the hematologic system, including medically significant </w:t>
      </w:r>
      <w:proofErr w:type="spellStart"/>
      <w:r>
        <w:rPr>
          <w:rStyle w:val="Emphasis"/>
          <w:rFonts w:ascii="Verdana" w:hAnsi="Verdana" w:cs="Arial"/>
          <w:color w:val="000000"/>
          <w:sz w:val="19"/>
          <w:szCs w:val="19"/>
          <w:lang w:val="en"/>
        </w:rPr>
        <w:t>cytopenia</w:t>
      </w:r>
      <w:proofErr w:type="spellEnd"/>
      <w:r>
        <w:rPr>
          <w:rStyle w:val="Emphasis"/>
          <w:rFonts w:ascii="Verdana" w:hAnsi="Verdana" w:cs="Arial"/>
          <w:color w:val="000000"/>
          <w:sz w:val="19"/>
          <w:szCs w:val="19"/>
          <w:lang w:val="en"/>
        </w:rPr>
        <w:t xml:space="preserve">, have been infrequently reported with Cimzia®. Advise all patients to seek </w:t>
      </w:r>
      <w:r>
        <w:rPr>
          <w:rStyle w:val="Emphasis"/>
          <w:rFonts w:ascii="Verdana" w:hAnsi="Verdana" w:cs="Arial"/>
          <w:color w:val="000000"/>
          <w:sz w:val="19"/>
          <w:szCs w:val="19"/>
          <w:lang w:val="en"/>
        </w:rPr>
        <w:lastRenderedPageBreak/>
        <w:t xml:space="preserve">immediate medical attention if they develop signs and symptoms suggestive of blood </w:t>
      </w:r>
      <w:proofErr w:type="spellStart"/>
      <w:r>
        <w:rPr>
          <w:rStyle w:val="Emphasis"/>
          <w:rFonts w:ascii="Verdana" w:hAnsi="Verdana" w:cs="Arial"/>
          <w:color w:val="000000"/>
          <w:sz w:val="19"/>
          <w:szCs w:val="19"/>
          <w:lang w:val="en"/>
        </w:rPr>
        <w:t>dyscrasias</w:t>
      </w:r>
      <w:proofErr w:type="spellEnd"/>
      <w:r>
        <w:rPr>
          <w:rStyle w:val="Emphasis"/>
          <w:rFonts w:ascii="Verdana" w:hAnsi="Verdana" w:cs="Arial"/>
          <w:color w:val="000000"/>
          <w:sz w:val="19"/>
          <w:szCs w:val="19"/>
          <w:lang w:val="en"/>
        </w:rPr>
        <w:t xml:space="preserve"> or infection (e.g., persistent fever, bruising, bleeding, pallor) while on Cimzia®. Consider discontinuation of Cimzia® therapy in patients with confirmed significant </w:t>
      </w:r>
      <w:proofErr w:type="spellStart"/>
      <w:r>
        <w:rPr>
          <w:rStyle w:val="Emphasis"/>
          <w:rFonts w:ascii="Verdana" w:hAnsi="Verdana" w:cs="Arial"/>
          <w:color w:val="000000"/>
          <w:sz w:val="19"/>
          <w:szCs w:val="19"/>
          <w:lang w:val="en"/>
        </w:rPr>
        <w:t>haematological</w:t>
      </w:r>
      <w:proofErr w:type="spellEnd"/>
      <w:r>
        <w:rPr>
          <w:rStyle w:val="Emphasis"/>
          <w:rFonts w:ascii="Verdana" w:hAnsi="Verdana" w:cs="Arial"/>
          <w:color w:val="000000"/>
          <w:sz w:val="19"/>
          <w:szCs w:val="19"/>
          <w:lang w:val="en"/>
        </w:rPr>
        <w:t xml:space="preserve"> abnormalities.</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The use of Cimzia® in combination with </w:t>
      </w:r>
      <w:proofErr w:type="spellStart"/>
      <w:r>
        <w:rPr>
          <w:rStyle w:val="Emphasis"/>
          <w:rFonts w:ascii="Verdana" w:hAnsi="Verdana" w:cs="Arial"/>
          <w:color w:val="000000"/>
          <w:sz w:val="19"/>
          <w:szCs w:val="19"/>
          <w:lang w:val="en"/>
        </w:rPr>
        <w:t>anakinra</w:t>
      </w:r>
      <w:proofErr w:type="spellEnd"/>
      <w:r>
        <w:rPr>
          <w:rStyle w:val="Emphasis"/>
          <w:rFonts w:ascii="Verdana" w:hAnsi="Verdana" w:cs="Arial"/>
          <w:color w:val="000000"/>
          <w:sz w:val="19"/>
          <w:szCs w:val="19"/>
          <w:lang w:val="en"/>
        </w:rPr>
        <w:t xml:space="preserve"> or </w:t>
      </w:r>
      <w:proofErr w:type="spellStart"/>
      <w:r>
        <w:rPr>
          <w:rStyle w:val="Emphasis"/>
          <w:rFonts w:ascii="Verdana" w:hAnsi="Verdana" w:cs="Arial"/>
          <w:color w:val="000000"/>
          <w:sz w:val="19"/>
          <w:szCs w:val="19"/>
          <w:lang w:val="en"/>
        </w:rPr>
        <w:t>abatacept</w:t>
      </w:r>
      <w:proofErr w:type="spellEnd"/>
      <w:r>
        <w:rPr>
          <w:rStyle w:val="Emphasis"/>
          <w:rFonts w:ascii="Verdana" w:hAnsi="Verdana" w:cs="Arial"/>
          <w:color w:val="000000"/>
          <w:sz w:val="19"/>
          <w:szCs w:val="19"/>
          <w:lang w:val="en"/>
        </w:rPr>
        <w:t xml:space="preserve"> is not recommended due to a potential increased risk of serious infections. As no data are available, Cimzia® should not be administered concurrently with live vaccines or attenuated vaccines. The 14-day half-life of Cimzia® should be taken into consideration if a surgical procedure is planned. A patient who requires surgery while on Cimzia® should be closely monitored for infections.</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Please consult the full prescribing information in relation to other side effects, full safety and prescribing information. </w:t>
      </w:r>
      <w:proofErr w:type="gramStart"/>
      <w:r>
        <w:rPr>
          <w:rStyle w:val="Emphasis"/>
          <w:rFonts w:ascii="Verdana" w:hAnsi="Verdana" w:cs="Arial"/>
          <w:color w:val="000000"/>
          <w:sz w:val="19"/>
          <w:szCs w:val="19"/>
          <w:lang w:val="en"/>
        </w:rPr>
        <w:t xml:space="preserve">European </w:t>
      </w:r>
      <w:proofErr w:type="spellStart"/>
      <w:r>
        <w:rPr>
          <w:rStyle w:val="Emphasis"/>
          <w:rFonts w:ascii="Verdana" w:hAnsi="Verdana" w:cs="Arial"/>
          <w:color w:val="000000"/>
          <w:sz w:val="19"/>
          <w:szCs w:val="19"/>
          <w:lang w:val="en"/>
        </w:rPr>
        <w:t>SmPC</w:t>
      </w:r>
      <w:proofErr w:type="spellEnd"/>
      <w:r>
        <w:rPr>
          <w:rStyle w:val="Emphasis"/>
          <w:rFonts w:ascii="Verdana" w:hAnsi="Verdana" w:cs="Arial"/>
          <w:color w:val="000000"/>
          <w:sz w:val="19"/>
          <w:szCs w:val="19"/>
          <w:lang w:val="en"/>
        </w:rPr>
        <w:t xml:space="preserve"> date of revision February 2011.</w:t>
      </w:r>
      <w:proofErr w:type="gramEnd"/>
      <w:r>
        <w:rPr>
          <w:rStyle w:val="Emphasis"/>
          <w:rFonts w:ascii="Verdana" w:hAnsi="Verdana" w:cs="Arial"/>
          <w:color w:val="000000"/>
          <w:sz w:val="19"/>
          <w:szCs w:val="19"/>
          <w:lang w:val="en"/>
        </w:rPr>
        <w:t xml:space="preserve"> </w:t>
      </w:r>
      <w:hyperlink r:id="rId11" w:tgtFrame="_blank" w:history="1">
        <w:r>
          <w:rPr>
            <w:rStyle w:val="Hyperlink"/>
            <w:i/>
            <w:iCs/>
            <w:lang w:val="en"/>
          </w:rPr>
          <w:t>http://www.ema.europa.eu/docs/en_GB/document_library/EPAR_-_Product_Information/human/001037/WC500069763.pdf</w:t>
        </w:r>
      </w:hyperlink>
      <w:r>
        <w:rPr>
          <w:rFonts w:ascii="Verdana" w:hAnsi="Verdana" w:cs="Arial"/>
          <w:color w:val="000000"/>
          <w:sz w:val="19"/>
          <w:szCs w:val="19"/>
          <w:lang w:val="en"/>
        </w:rPr>
        <w:br/>
      </w:r>
      <w:r>
        <w:rPr>
          <w:rFonts w:ascii="Verdana" w:hAnsi="Verdana" w:cs="Arial"/>
          <w:color w:val="000000"/>
          <w:sz w:val="19"/>
          <w:szCs w:val="19"/>
          <w:lang w:val="en"/>
        </w:rPr>
        <w:br/>
      </w:r>
      <w:r>
        <w:rPr>
          <w:rStyle w:val="Strong"/>
          <w:rFonts w:ascii="Verdana" w:hAnsi="Verdana" w:cs="Arial"/>
          <w:i/>
          <w:iCs/>
          <w:color w:val="000000"/>
          <w:sz w:val="19"/>
          <w:szCs w:val="19"/>
          <w:lang w:val="en"/>
        </w:rPr>
        <w:t xml:space="preserve">About CIMZIA® </w:t>
      </w:r>
      <w:r>
        <w:rPr>
          <w:rFonts w:ascii="Verdana" w:hAnsi="Verdana" w:cs="Arial"/>
          <w:b/>
          <w:bCs/>
          <w:i/>
          <w:iCs/>
          <w:color w:val="000000"/>
          <w:sz w:val="19"/>
          <w:szCs w:val="19"/>
          <w:lang w:val="en"/>
        </w:rPr>
        <w:br/>
      </w:r>
      <w:proofErr w:type="spellStart"/>
      <w:r>
        <w:rPr>
          <w:rStyle w:val="Emphasis"/>
          <w:rFonts w:ascii="Verdana" w:hAnsi="Verdana" w:cs="Arial"/>
          <w:color w:val="000000"/>
          <w:sz w:val="19"/>
          <w:szCs w:val="19"/>
          <w:lang w:val="en"/>
        </w:rPr>
        <w:t>Cimzia</w:t>
      </w:r>
      <w:proofErr w:type="spellEnd"/>
      <w:r>
        <w:rPr>
          <w:rStyle w:val="Emphasis"/>
          <w:rFonts w:ascii="Verdana" w:hAnsi="Verdana" w:cs="Arial"/>
          <w:color w:val="000000"/>
          <w:sz w:val="19"/>
          <w:szCs w:val="19"/>
          <w:lang w:val="en"/>
        </w:rPr>
        <w:t xml:space="preserve">® is the only PEGylated anti-TNF (Tumor Necrosis Factor). Cimzia® has a high affinity for human TNF-alpha, selectively neutralizing the pathophysiological effects of TNF-alpha. Over the past decade, TNF-alpha has emerged as a major target of basic research and clinical investigation. This cytokine plays a key role in mediating pathological inflammation, and excess TNF-alpha production has been directly implicated in a wide variety of diseases. The U.S. Food and Drug Administration (FDA) has approved Cimzia® for reducing signs and symptoms of </w:t>
      </w:r>
      <w:proofErr w:type="spellStart"/>
      <w:r>
        <w:rPr>
          <w:rStyle w:val="Emphasis"/>
          <w:rFonts w:ascii="Verdana" w:hAnsi="Verdana" w:cs="Arial"/>
          <w:color w:val="000000"/>
          <w:sz w:val="19"/>
          <w:szCs w:val="19"/>
          <w:lang w:val="en"/>
        </w:rPr>
        <w:t>Crohn's</w:t>
      </w:r>
      <w:proofErr w:type="spellEnd"/>
      <w:r>
        <w:rPr>
          <w:rStyle w:val="Emphasis"/>
          <w:rFonts w:ascii="Verdana" w:hAnsi="Verdana" w:cs="Arial"/>
          <w:color w:val="000000"/>
          <w:sz w:val="19"/>
          <w:szCs w:val="19"/>
          <w:lang w:val="en"/>
        </w:rPr>
        <w:t xml:space="preserve"> disease and maintaining clinical response in adult patients with moderately to severely active disease who have had an inadequate response to conventional therapy and for the treatment of adults with moderately to severely active rheumatoid arthritis. Cimzia® in combination with </w:t>
      </w:r>
      <w:proofErr w:type="gramStart"/>
      <w:r>
        <w:rPr>
          <w:rStyle w:val="Emphasis"/>
          <w:rFonts w:ascii="Verdana" w:hAnsi="Verdana" w:cs="Arial"/>
          <w:color w:val="000000"/>
          <w:sz w:val="19"/>
          <w:szCs w:val="19"/>
          <w:lang w:val="en"/>
        </w:rPr>
        <w:t>MTX,</w:t>
      </w:r>
      <w:proofErr w:type="gramEnd"/>
      <w:r>
        <w:rPr>
          <w:rStyle w:val="Emphasis"/>
          <w:rFonts w:ascii="Verdana" w:hAnsi="Verdana" w:cs="Arial"/>
          <w:color w:val="000000"/>
          <w:sz w:val="19"/>
          <w:szCs w:val="19"/>
          <w:lang w:val="en"/>
        </w:rPr>
        <w:t xml:space="preserve"> is approved in the EU for the treatment of moderate to severe active RA in adult patients inadequately responsive to disease-modifying </w:t>
      </w:r>
      <w:proofErr w:type="spellStart"/>
      <w:r>
        <w:rPr>
          <w:rStyle w:val="Emphasis"/>
          <w:rFonts w:ascii="Verdana" w:hAnsi="Verdana" w:cs="Arial"/>
          <w:color w:val="000000"/>
          <w:sz w:val="19"/>
          <w:szCs w:val="19"/>
          <w:lang w:val="en"/>
        </w:rPr>
        <w:t>antirheumatic</w:t>
      </w:r>
      <w:proofErr w:type="spellEnd"/>
      <w:r>
        <w:rPr>
          <w:rStyle w:val="Emphasis"/>
          <w:rFonts w:ascii="Verdana" w:hAnsi="Verdana" w:cs="Arial"/>
          <w:color w:val="000000"/>
          <w:sz w:val="19"/>
          <w:szCs w:val="19"/>
          <w:lang w:val="en"/>
        </w:rPr>
        <w:t xml:space="preserve"> drugs (DMARDs) including MTX. Cimzia® can be given as </w:t>
      </w:r>
      <w:proofErr w:type="spellStart"/>
      <w:r>
        <w:rPr>
          <w:rStyle w:val="Emphasis"/>
          <w:rFonts w:ascii="Verdana" w:hAnsi="Verdana" w:cs="Arial"/>
          <w:color w:val="000000"/>
          <w:sz w:val="19"/>
          <w:szCs w:val="19"/>
          <w:lang w:val="en"/>
        </w:rPr>
        <w:t>monotherapy</w:t>
      </w:r>
      <w:proofErr w:type="spellEnd"/>
      <w:r>
        <w:rPr>
          <w:rStyle w:val="Emphasis"/>
          <w:rFonts w:ascii="Verdana" w:hAnsi="Verdana" w:cs="Arial"/>
          <w:color w:val="000000"/>
          <w:sz w:val="19"/>
          <w:szCs w:val="19"/>
          <w:lang w:val="en"/>
        </w:rPr>
        <w:t xml:space="preserve"> in case of intolerance to MTX or when continued treatment with MTX is inappropriate. UCB is also developing Cimzia® in other autoimmune disease indications. Cimzia® is a registered trademark of UCB PHARMA S.A.</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Strong"/>
          <w:rFonts w:ascii="Verdana" w:hAnsi="Verdana" w:cs="Arial"/>
          <w:i/>
          <w:iCs/>
          <w:color w:val="000000"/>
          <w:sz w:val="19"/>
          <w:szCs w:val="19"/>
          <w:lang w:val="en"/>
        </w:rPr>
        <w:t>About UCB</w:t>
      </w:r>
      <w:r>
        <w:rPr>
          <w:rFonts w:ascii="Verdana" w:hAnsi="Verdana" w:cs="Arial"/>
          <w:b/>
          <w:bCs/>
          <w:i/>
          <w:iCs/>
          <w:color w:val="000000"/>
          <w:sz w:val="19"/>
          <w:szCs w:val="19"/>
          <w:lang w:val="en"/>
        </w:rPr>
        <w:br/>
      </w:r>
      <w:proofErr w:type="spellStart"/>
      <w:r>
        <w:rPr>
          <w:rStyle w:val="Emphasis"/>
          <w:rFonts w:ascii="Verdana" w:hAnsi="Verdana" w:cs="Arial"/>
          <w:color w:val="000000"/>
          <w:sz w:val="19"/>
          <w:szCs w:val="19"/>
          <w:lang w:val="en"/>
        </w:rPr>
        <w:t>UCB</w:t>
      </w:r>
      <w:proofErr w:type="spellEnd"/>
      <w:r>
        <w:rPr>
          <w:rStyle w:val="Emphasis"/>
          <w:rFonts w:ascii="Verdana" w:hAnsi="Verdana" w:cs="Arial"/>
          <w:color w:val="000000"/>
          <w:sz w:val="19"/>
          <w:szCs w:val="19"/>
          <w:lang w:val="en"/>
        </w:rPr>
        <w:t>, Brussels, Belgium (</w:t>
      </w:r>
      <w:hyperlink r:id="rId12" w:tgtFrame="_blank" w:history="1">
        <w:r>
          <w:rPr>
            <w:rStyle w:val="Hyperlink"/>
            <w:i/>
            <w:iCs/>
            <w:lang w:val="en"/>
          </w:rPr>
          <w:t>www.ucb.com</w:t>
        </w:r>
      </w:hyperlink>
      <w:r>
        <w:rPr>
          <w:rStyle w:val="Emphasis"/>
          <w:rFonts w:ascii="Verdana" w:hAnsi="Verdana" w:cs="Arial"/>
          <w:color w:val="000000"/>
          <w:sz w:val="19"/>
          <w:szCs w:val="19"/>
          <w:lang w:val="en"/>
        </w:rPr>
        <w:t>) is a biopharmaceutical company dedicated to the research, development and commercialization of innovative medicines with a focus on the fields of central nervous system and immunology disorders. Employing more than 9000 people in over 40 countries, UCB produced revenue of EUR 3.22 billion in 2010. UCB is listed on Euronext Brussels (symbol: UCB).</w:t>
      </w:r>
      <w:r>
        <w:rPr>
          <w:rFonts w:ascii="Verdana" w:hAnsi="Verdana" w:cs="Arial"/>
          <w:i/>
          <w:iCs/>
          <w:color w:val="000000"/>
          <w:sz w:val="19"/>
          <w:szCs w:val="19"/>
          <w:lang w:val="en"/>
        </w:rPr>
        <w:br/>
      </w:r>
      <w:r>
        <w:rPr>
          <w:rFonts w:ascii="Verdana" w:hAnsi="Verdana" w:cs="Arial"/>
          <w:i/>
          <w:iCs/>
          <w:color w:val="000000"/>
          <w:sz w:val="19"/>
          <w:szCs w:val="19"/>
          <w:lang w:val="en"/>
        </w:rPr>
        <w:br/>
      </w:r>
      <w:r>
        <w:rPr>
          <w:rStyle w:val="Strong"/>
          <w:rFonts w:ascii="Verdana" w:hAnsi="Verdana" w:cs="Arial"/>
          <w:i/>
          <w:iCs/>
          <w:color w:val="000000"/>
          <w:sz w:val="19"/>
          <w:szCs w:val="19"/>
          <w:lang w:val="en"/>
        </w:rPr>
        <w:t>Forward-looking statements</w:t>
      </w:r>
      <w:r>
        <w:rPr>
          <w:rFonts w:ascii="Verdana" w:hAnsi="Verdana" w:cs="Arial"/>
          <w:b/>
          <w:bCs/>
          <w:i/>
          <w:iCs/>
          <w:color w:val="000000"/>
          <w:sz w:val="19"/>
          <w:szCs w:val="19"/>
          <w:lang w:val="en"/>
        </w:rPr>
        <w:br/>
      </w:r>
      <w:proofErr w:type="gramStart"/>
      <w:r>
        <w:rPr>
          <w:rStyle w:val="Emphasis"/>
          <w:rFonts w:ascii="Verdana" w:hAnsi="Verdana" w:cs="Arial"/>
          <w:color w:val="000000"/>
          <w:sz w:val="19"/>
          <w:szCs w:val="19"/>
          <w:lang w:val="en"/>
        </w:rPr>
        <w:t>This</w:t>
      </w:r>
      <w:proofErr w:type="gramEnd"/>
      <w:r>
        <w:rPr>
          <w:rStyle w:val="Emphasis"/>
          <w:rFonts w:ascii="Verdana" w:hAnsi="Verdana" w:cs="Arial"/>
          <w:color w:val="000000"/>
          <w:sz w:val="19"/>
          <w:szCs w:val="19"/>
          <w:lang w:val="en"/>
        </w:rPr>
        <w:t xml:space="preserve"> press release contains forward-looking statements based on current plans, estimates and beliefs of management. Such statements are subject to risks and uncertainties that may cause actual results to be materially different from those that may be implied by such forward-looking statements contained in this press release. Important factors that could result in such differences include: changes in general economic, business and competitive conditions, effects of future judicial decisions, changes in regulation, exchange rate fluctuations and hiring and retention of its employees.</w:t>
      </w:r>
      <w:r>
        <w:rPr>
          <w:rFonts w:ascii="Verdana" w:hAnsi="Verdana" w:cs="Arial"/>
          <w:i/>
          <w:iCs/>
          <w:color w:val="000000"/>
          <w:sz w:val="19"/>
          <w:szCs w:val="19"/>
          <w:lang w:val="en"/>
        </w:rPr>
        <w:br/>
      </w:r>
      <w:r>
        <w:rPr>
          <w:rFonts w:ascii="Verdana" w:hAnsi="Verdana" w:cs="Arial"/>
          <w:i/>
          <w:iCs/>
          <w:color w:val="000000"/>
          <w:sz w:val="19"/>
          <w:szCs w:val="19"/>
          <w:lang w:val="en"/>
        </w:rPr>
        <w:br/>
      </w:r>
      <w:proofErr w:type="gramStart"/>
      <w:r>
        <w:rPr>
          <w:rStyle w:val="Strong"/>
          <w:rFonts w:ascii="Verdana" w:hAnsi="Verdana" w:cs="Arial"/>
          <w:i/>
          <w:iCs/>
          <w:color w:val="000000"/>
          <w:sz w:val="19"/>
          <w:szCs w:val="19"/>
          <w:lang w:val="en"/>
        </w:rPr>
        <w:t>References</w:t>
      </w:r>
      <w:r>
        <w:rPr>
          <w:rFonts w:ascii="Verdana" w:hAnsi="Verdana" w:cs="Arial"/>
          <w:b/>
          <w:bCs/>
          <w:i/>
          <w:iCs/>
          <w:color w:val="000000"/>
          <w:sz w:val="19"/>
          <w:szCs w:val="19"/>
          <w:lang w:val="en"/>
        </w:rPr>
        <w:br/>
      </w:r>
      <w:r>
        <w:rPr>
          <w:rStyle w:val="Emphasis"/>
          <w:rFonts w:ascii="Verdana" w:hAnsi="Verdana" w:cs="Arial"/>
          <w:color w:val="000000"/>
          <w:sz w:val="19"/>
          <w:szCs w:val="19"/>
          <w:lang w:val="en"/>
        </w:rPr>
        <w:t>1.</w:t>
      </w:r>
      <w:proofErr w:type="gramEnd"/>
      <w:r>
        <w:rPr>
          <w:rStyle w:val="Emphasis"/>
          <w:rFonts w:ascii="Verdana" w:hAnsi="Verdana" w:cs="Arial"/>
          <w:color w:val="000000"/>
          <w:sz w:val="19"/>
          <w:szCs w:val="19"/>
          <w:lang w:val="en"/>
        </w:rPr>
        <w:t xml:space="preserve"> </w:t>
      </w:r>
      <w:proofErr w:type="spellStart"/>
      <w:proofErr w:type="gramStart"/>
      <w:r>
        <w:rPr>
          <w:rStyle w:val="Emphasis"/>
          <w:rFonts w:ascii="Verdana" w:hAnsi="Verdana" w:cs="Arial"/>
          <w:color w:val="000000"/>
          <w:sz w:val="19"/>
          <w:szCs w:val="19"/>
          <w:lang w:val="en"/>
        </w:rPr>
        <w:t>Smolen</w:t>
      </w:r>
      <w:proofErr w:type="spellEnd"/>
      <w:r>
        <w:rPr>
          <w:rStyle w:val="Emphasis"/>
          <w:rFonts w:ascii="Verdana" w:hAnsi="Verdana" w:cs="Arial"/>
          <w:color w:val="000000"/>
          <w:sz w:val="19"/>
          <w:szCs w:val="19"/>
          <w:lang w:val="en"/>
        </w:rPr>
        <w:t xml:space="preserve"> J et al. EULAR recommendation for the management of rheumatoid arthritis with synthetic and biological disease-modifying </w:t>
      </w:r>
      <w:proofErr w:type="spellStart"/>
      <w:r>
        <w:rPr>
          <w:rStyle w:val="Emphasis"/>
          <w:rFonts w:ascii="Verdana" w:hAnsi="Verdana" w:cs="Arial"/>
          <w:color w:val="000000"/>
          <w:sz w:val="19"/>
          <w:szCs w:val="19"/>
          <w:lang w:val="en"/>
        </w:rPr>
        <w:t>antirheumatic</w:t>
      </w:r>
      <w:proofErr w:type="spellEnd"/>
      <w:r>
        <w:rPr>
          <w:rStyle w:val="Emphasis"/>
          <w:rFonts w:ascii="Verdana" w:hAnsi="Verdana" w:cs="Arial"/>
          <w:color w:val="000000"/>
          <w:sz w:val="19"/>
          <w:szCs w:val="19"/>
          <w:lang w:val="en"/>
        </w:rPr>
        <w:t xml:space="preserve"> drugs.</w:t>
      </w:r>
      <w:proofErr w:type="gramEnd"/>
      <w:r>
        <w:rPr>
          <w:rStyle w:val="Emphasis"/>
          <w:rFonts w:ascii="Verdana" w:hAnsi="Verdana" w:cs="Arial"/>
          <w:color w:val="000000"/>
          <w:sz w:val="19"/>
          <w:szCs w:val="19"/>
          <w:lang w:val="en"/>
        </w:rPr>
        <w:t xml:space="preserve"> Ann Rheum Dis (2010). 2010 Jun</w:t>
      </w:r>
      <w:proofErr w:type="gramStart"/>
      <w:r>
        <w:rPr>
          <w:rStyle w:val="Emphasis"/>
          <w:rFonts w:ascii="Verdana" w:hAnsi="Verdana" w:cs="Arial"/>
          <w:color w:val="000000"/>
          <w:sz w:val="19"/>
          <w:szCs w:val="19"/>
          <w:lang w:val="en"/>
        </w:rPr>
        <w:t>;69</w:t>
      </w:r>
      <w:proofErr w:type="gramEnd"/>
      <w:r>
        <w:rPr>
          <w:rStyle w:val="Emphasis"/>
          <w:rFonts w:ascii="Verdana" w:hAnsi="Verdana" w:cs="Arial"/>
          <w:color w:val="000000"/>
          <w:sz w:val="19"/>
          <w:szCs w:val="19"/>
          <w:lang w:val="en"/>
        </w:rPr>
        <w:t xml:space="preserve">(6):964-75. </w:t>
      </w:r>
      <w:proofErr w:type="spellStart"/>
      <w:r>
        <w:rPr>
          <w:rStyle w:val="Emphasis"/>
          <w:rFonts w:ascii="Verdana" w:hAnsi="Verdana" w:cs="Arial"/>
          <w:color w:val="000000"/>
          <w:sz w:val="19"/>
          <w:szCs w:val="19"/>
          <w:lang w:val="en"/>
        </w:rPr>
        <w:t>Epub</w:t>
      </w:r>
      <w:proofErr w:type="spellEnd"/>
      <w:r>
        <w:rPr>
          <w:rStyle w:val="Emphasis"/>
          <w:rFonts w:ascii="Verdana" w:hAnsi="Verdana" w:cs="Arial"/>
          <w:color w:val="000000"/>
          <w:sz w:val="19"/>
          <w:szCs w:val="19"/>
          <w:lang w:val="en"/>
        </w:rPr>
        <w:t xml:space="preserve"> 2010 May 5</w:t>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2. </w:t>
      </w:r>
      <w:proofErr w:type="spellStart"/>
      <w:r>
        <w:rPr>
          <w:rStyle w:val="Emphasis"/>
          <w:rFonts w:ascii="Verdana" w:hAnsi="Verdana" w:cs="Arial"/>
          <w:color w:val="000000"/>
          <w:sz w:val="19"/>
          <w:szCs w:val="19"/>
          <w:lang w:val="en"/>
        </w:rPr>
        <w:t>Smolen</w:t>
      </w:r>
      <w:proofErr w:type="spellEnd"/>
      <w:r>
        <w:rPr>
          <w:rStyle w:val="Emphasis"/>
          <w:rFonts w:ascii="Verdana" w:hAnsi="Verdana" w:cs="Arial"/>
          <w:color w:val="000000"/>
          <w:sz w:val="19"/>
          <w:szCs w:val="19"/>
          <w:lang w:val="en"/>
        </w:rPr>
        <w:t xml:space="preserve"> et al. </w:t>
      </w:r>
      <w:proofErr w:type="gramStart"/>
      <w:r>
        <w:rPr>
          <w:rStyle w:val="Emphasis"/>
          <w:rFonts w:ascii="Verdana" w:hAnsi="Verdana" w:cs="Arial"/>
          <w:color w:val="000000"/>
          <w:sz w:val="19"/>
          <w:szCs w:val="19"/>
          <w:lang w:val="en"/>
        </w:rPr>
        <w:t>Treating</w:t>
      </w:r>
      <w:proofErr w:type="gramEnd"/>
      <w:r>
        <w:rPr>
          <w:rStyle w:val="Emphasis"/>
          <w:rFonts w:ascii="Verdana" w:hAnsi="Verdana" w:cs="Arial"/>
          <w:color w:val="000000"/>
          <w:sz w:val="19"/>
          <w:szCs w:val="19"/>
          <w:lang w:val="en"/>
        </w:rPr>
        <w:t xml:space="preserve"> rheumatoid arthritis to target: recommendations of an international task force. </w:t>
      </w:r>
      <w:r w:rsidRPr="00EC6F64">
        <w:rPr>
          <w:rStyle w:val="Emphasis"/>
          <w:rFonts w:ascii="Verdana" w:hAnsi="Verdana" w:cs="Arial"/>
          <w:color w:val="000000"/>
          <w:sz w:val="19"/>
          <w:szCs w:val="19"/>
        </w:rPr>
        <w:t>Ann Rheum Dis. 2010 Apr;69(4):631-7.</w:t>
      </w:r>
      <w:r w:rsidRPr="00EC6F64">
        <w:rPr>
          <w:rFonts w:ascii="Verdana" w:hAnsi="Verdana" w:cs="Arial"/>
          <w:i/>
          <w:iCs/>
          <w:color w:val="000000"/>
          <w:sz w:val="19"/>
          <w:szCs w:val="19"/>
        </w:rPr>
        <w:br/>
      </w:r>
      <w:r w:rsidRPr="00EC6F64">
        <w:rPr>
          <w:rStyle w:val="Emphasis"/>
          <w:rFonts w:ascii="Verdana" w:hAnsi="Verdana" w:cs="Arial"/>
          <w:color w:val="000000"/>
          <w:sz w:val="19"/>
          <w:szCs w:val="19"/>
        </w:rPr>
        <w:t xml:space="preserve">3. Wolfe F, Michaud K, Gefeller O, et al. </w:t>
      </w:r>
      <w:proofErr w:type="gramStart"/>
      <w:r>
        <w:rPr>
          <w:rStyle w:val="Emphasis"/>
          <w:rFonts w:ascii="Verdana" w:hAnsi="Verdana" w:cs="Arial"/>
          <w:color w:val="000000"/>
          <w:sz w:val="19"/>
          <w:szCs w:val="19"/>
          <w:lang w:val="en"/>
        </w:rPr>
        <w:t>Predicting mortality in patients with rheumatoid arthritis.</w:t>
      </w:r>
      <w:proofErr w:type="gramEnd"/>
      <w:r>
        <w:rPr>
          <w:rStyle w:val="Emphasis"/>
          <w:rFonts w:ascii="Verdana" w:hAnsi="Verdana" w:cs="Arial"/>
          <w:color w:val="000000"/>
          <w:sz w:val="19"/>
          <w:szCs w:val="19"/>
          <w:lang w:val="en"/>
        </w:rPr>
        <w:t xml:space="preserve"> Arthritis &amp; Rheumatism (2003)</w:t>
      </w:r>
      <w:proofErr w:type="gramStart"/>
      <w:r>
        <w:rPr>
          <w:rStyle w:val="Emphasis"/>
          <w:rFonts w:ascii="Verdana" w:hAnsi="Verdana" w:cs="Arial"/>
          <w:color w:val="000000"/>
          <w:sz w:val="19"/>
          <w:szCs w:val="19"/>
          <w:lang w:val="en"/>
        </w:rPr>
        <w:t>;48:1530</w:t>
      </w:r>
      <w:proofErr w:type="gramEnd"/>
      <w:r>
        <w:rPr>
          <w:rStyle w:val="Emphasis"/>
          <w:rFonts w:ascii="Verdana" w:hAnsi="Verdana" w:cs="Arial"/>
          <w:color w:val="000000"/>
          <w:sz w:val="19"/>
          <w:szCs w:val="19"/>
          <w:lang w:val="en"/>
        </w:rPr>
        <w:t>–1542</w:t>
      </w:r>
      <w:r>
        <w:rPr>
          <w:rFonts w:ascii="Verdana" w:hAnsi="Verdana" w:cs="Arial"/>
          <w:i/>
          <w:iCs/>
          <w:color w:val="000000"/>
          <w:sz w:val="19"/>
          <w:szCs w:val="19"/>
          <w:lang w:val="en"/>
        </w:rPr>
        <w:br/>
      </w:r>
      <w:r>
        <w:rPr>
          <w:rStyle w:val="Emphasis"/>
          <w:rFonts w:ascii="Verdana" w:hAnsi="Verdana" w:cs="Arial"/>
          <w:color w:val="000000"/>
          <w:sz w:val="19"/>
          <w:szCs w:val="19"/>
          <w:lang w:val="en"/>
        </w:rPr>
        <w:lastRenderedPageBreak/>
        <w:t xml:space="preserve">4. </w:t>
      </w:r>
      <w:proofErr w:type="spellStart"/>
      <w:r>
        <w:rPr>
          <w:rStyle w:val="Emphasis"/>
          <w:rFonts w:ascii="Verdana" w:hAnsi="Verdana" w:cs="Arial"/>
          <w:color w:val="000000"/>
          <w:sz w:val="19"/>
          <w:szCs w:val="19"/>
          <w:lang w:val="en"/>
        </w:rPr>
        <w:t>Pincus</w:t>
      </w:r>
      <w:proofErr w:type="spellEnd"/>
      <w:r>
        <w:rPr>
          <w:rStyle w:val="Emphasis"/>
          <w:rFonts w:ascii="Verdana" w:hAnsi="Verdana" w:cs="Arial"/>
          <w:color w:val="000000"/>
          <w:sz w:val="19"/>
          <w:szCs w:val="19"/>
          <w:lang w:val="en"/>
        </w:rPr>
        <w:t xml:space="preserve"> T, Callahan LF, Sale WG, et al. Severe functional declines, work disability, and increased mortality in seventy-five rheumatoid arthritis patients studied over nine years. Arthritis &amp; Rheumatism (2005)</w:t>
      </w:r>
      <w:proofErr w:type="gramStart"/>
      <w:r>
        <w:rPr>
          <w:rStyle w:val="Emphasis"/>
          <w:rFonts w:ascii="Verdana" w:hAnsi="Verdana" w:cs="Arial"/>
          <w:color w:val="000000"/>
          <w:sz w:val="19"/>
          <w:szCs w:val="19"/>
          <w:lang w:val="en"/>
        </w:rPr>
        <w:t>;27:864</w:t>
      </w:r>
      <w:proofErr w:type="gramEnd"/>
      <w:r>
        <w:rPr>
          <w:rStyle w:val="Emphasis"/>
          <w:rFonts w:ascii="Verdana" w:hAnsi="Verdana" w:cs="Arial"/>
          <w:color w:val="000000"/>
          <w:sz w:val="19"/>
          <w:szCs w:val="19"/>
          <w:lang w:val="en"/>
        </w:rPr>
        <w:t xml:space="preserve"> – 872</w:t>
      </w:r>
      <w:r>
        <w:rPr>
          <w:rFonts w:ascii="Verdana" w:hAnsi="Verdana" w:cs="Arial"/>
          <w:i/>
          <w:iCs/>
          <w:color w:val="000000"/>
          <w:sz w:val="19"/>
          <w:szCs w:val="19"/>
          <w:lang w:val="en"/>
        </w:rPr>
        <w:br/>
      </w:r>
      <w:r>
        <w:rPr>
          <w:rStyle w:val="Emphasis"/>
          <w:rFonts w:ascii="Verdana" w:hAnsi="Verdana" w:cs="Arial"/>
          <w:color w:val="000000"/>
          <w:sz w:val="19"/>
          <w:szCs w:val="19"/>
          <w:lang w:val="en"/>
        </w:rPr>
        <w:t>5. Wolfe F, Mitchell DM</w:t>
      </w:r>
      <w:proofErr w:type="gramStart"/>
      <w:r>
        <w:rPr>
          <w:rStyle w:val="Emphasis"/>
          <w:rFonts w:ascii="Verdana" w:hAnsi="Verdana" w:cs="Arial"/>
          <w:color w:val="000000"/>
          <w:sz w:val="19"/>
          <w:szCs w:val="19"/>
          <w:lang w:val="en"/>
        </w:rPr>
        <w:t>,.</w:t>
      </w:r>
      <w:proofErr w:type="gramEnd"/>
      <w:r>
        <w:rPr>
          <w:rStyle w:val="Emphasis"/>
          <w:rFonts w:ascii="Verdana" w:hAnsi="Verdana" w:cs="Arial"/>
          <w:color w:val="000000"/>
          <w:sz w:val="19"/>
          <w:szCs w:val="19"/>
          <w:lang w:val="en"/>
        </w:rPr>
        <w:t xml:space="preserve"> Sibley JT et al. </w:t>
      </w:r>
      <w:proofErr w:type="gramStart"/>
      <w:r>
        <w:rPr>
          <w:rStyle w:val="Emphasis"/>
          <w:rFonts w:ascii="Verdana" w:hAnsi="Verdana" w:cs="Arial"/>
          <w:color w:val="000000"/>
          <w:sz w:val="19"/>
          <w:szCs w:val="19"/>
          <w:lang w:val="en"/>
        </w:rPr>
        <w:t>The mortality of rheumatoid arthritis.</w:t>
      </w:r>
      <w:proofErr w:type="gramEnd"/>
      <w:r>
        <w:rPr>
          <w:rStyle w:val="Emphasis"/>
          <w:rFonts w:ascii="Verdana" w:hAnsi="Verdana" w:cs="Arial"/>
          <w:color w:val="000000"/>
          <w:sz w:val="19"/>
          <w:szCs w:val="19"/>
          <w:lang w:val="en"/>
        </w:rPr>
        <w:t xml:space="preserve"> Arthritis &amp; Rheumatism (2005)</w:t>
      </w:r>
      <w:proofErr w:type="gramStart"/>
      <w:r>
        <w:rPr>
          <w:rStyle w:val="Emphasis"/>
          <w:rFonts w:ascii="Verdana" w:hAnsi="Verdana" w:cs="Arial"/>
          <w:color w:val="000000"/>
          <w:sz w:val="19"/>
          <w:szCs w:val="19"/>
          <w:lang w:val="en"/>
        </w:rPr>
        <w:t>;37</w:t>
      </w:r>
      <w:proofErr w:type="gramEnd"/>
      <w:r>
        <w:rPr>
          <w:rStyle w:val="Emphasis"/>
          <w:rFonts w:ascii="Verdana" w:hAnsi="Verdana" w:cs="Arial"/>
          <w:color w:val="000000"/>
          <w:sz w:val="19"/>
          <w:szCs w:val="19"/>
          <w:lang w:val="en"/>
        </w:rPr>
        <w:t>: 481–494</w:t>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6. National Rheumatoid Arthritis Society – What is RA? [Online] Available at: </w:t>
      </w:r>
      <w:hyperlink r:id="rId13" w:tgtFrame="_blank" w:history="1">
        <w:r>
          <w:rPr>
            <w:rStyle w:val="Hyperlink"/>
            <w:i/>
            <w:iCs/>
            <w:lang w:val="en"/>
          </w:rPr>
          <w:t>http://www.nras.org.uk/about_rheumatoid_arthritis/what_is_ra/what_is_ra.aspx</w:t>
        </w:r>
      </w:hyperlink>
      <w:r>
        <w:rPr>
          <w:rStyle w:val="Emphasis"/>
          <w:rFonts w:ascii="Verdana" w:hAnsi="Verdana" w:cs="Arial"/>
          <w:color w:val="000000"/>
          <w:sz w:val="19"/>
          <w:szCs w:val="19"/>
          <w:lang w:val="en"/>
        </w:rPr>
        <w:t xml:space="preserve"> [Accessed 16 May 2011]</w:t>
      </w:r>
      <w:r>
        <w:rPr>
          <w:rFonts w:ascii="Verdana" w:hAnsi="Verdana" w:cs="Arial"/>
          <w:i/>
          <w:iCs/>
          <w:color w:val="000000"/>
          <w:sz w:val="19"/>
          <w:szCs w:val="19"/>
          <w:lang w:val="en"/>
        </w:rPr>
        <w:br/>
      </w:r>
      <w:r>
        <w:rPr>
          <w:rStyle w:val="Emphasis"/>
          <w:rFonts w:ascii="Verdana" w:hAnsi="Verdana" w:cs="Arial"/>
          <w:color w:val="000000"/>
          <w:sz w:val="19"/>
          <w:szCs w:val="19"/>
          <w:lang w:val="en"/>
        </w:rPr>
        <w:t xml:space="preserve">7. </w:t>
      </w:r>
      <w:r w:rsidRPr="00EC6F64">
        <w:rPr>
          <w:rStyle w:val="Emphasis"/>
          <w:rFonts w:ascii="Verdana" w:hAnsi="Verdana" w:cs="Arial"/>
          <w:color w:val="000000"/>
          <w:sz w:val="19"/>
          <w:szCs w:val="19"/>
        </w:rPr>
        <w:t xml:space="preserve">Smolen JS, Han C, van der Heijde D, et al. </w:t>
      </w:r>
      <w:r>
        <w:rPr>
          <w:rStyle w:val="Emphasis"/>
          <w:rFonts w:ascii="Verdana" w:hAnsi="Verdana" w:cs="Arial"/>
          <w:color w:val="000000"/>
          <w:sz w:val="19"/>
          <w:szCs w:val="19"/>
          <w:lang w:val="en"/>
        </w:rPr>
        <w:t xml:space="preserve">Radiographic changes in rheumatoid arthritis patients attaining different disease activity states with methotrexate </w:t>
      </w:r>
      <w:proofErr w:type="spellStart"/>
      <w:r>
        <w:rPr>
          <w:rStyle w:val="Emphasis"/>
          <w:rFonts w:ascii="Verdana" w:hAnsi="Verdana" w:cs="Arial"/>
          <w:color w:val="000000"/>
          <w:sz w:val="19"/>
          <w:szCs w:val="19"/>
          <w:lang w:val="en"/>
        </w:rPr>
        <w:t>monotherapy</w:t>
      </w:r>
      <w:proofErr w:type="spellEnd"/>
      <w:r>
        <w:rPr>
          <w:rStyle w:val="Emphasis"/>
          <w:rFonts w:ascii="Verdana" w:hAnsi="Verdana" w:cs="Arial"/>
          <w:color w:val="000000"/>
          <w:sz w:val="19"/>
          <w:szCs w:val="19"/>
          <w:lang w:val="en"/>
        </w:rPr>
        <w:t xml:space="preserve"> and infliximab plus methotrexate: the impacts of remission and </w:t>
      </w:r>
      <w:proofErr w:type="spellStart"/>
      <w:r>
        <w:rPr>
          <w:rStyle w:val="Emphasis"/>
          <w:rFonts w:ascii="Verdana" w:hAnsi="Verdana" w:cs="Arial"/>
          <w:color w:val="000000"/>
          <w:sz w:val="19"/>
          <w:szCs w:val="19"/>
          <w:lang w:val="en"/>
        </w:rPr>
        <w:t>tumour</w:t>
      </w:r>
      <w:proofErr w:type="spellEnd"/>
      <w:r>
        <w:rPr>
          <w:rStyle w:val="Emphasis"/>
          <w:rFonts w:ascii="Verdana" w:hAnsi="Verdana" w:cs="Arial"/>
          <w:color w:val="000000"/>
          <w:sz w:val="19"/>
          <w:szCs w:val="19"/>
          <w:lang w:val="en"/>
        </w:rPr>
        <w:t xml:space="preserve"> necrosis factor blockade. </w:t>
      </w:r>
      <w:r w:rsidRPr="00EC6F64">
        <w:rPr>
          <w:rStyle w:val="Emphasis"/>
          <w:rFonts w:ascii="Verdana" w:hAnsi="Verdana" w:cs="Arial"/>
          <w:color w:val="000000"/>
          <w:sz w:val="19"/>
          <w:szCs w:val="19"/>
        </w:rPr>
        <w:t>Ann Rheum Dis 2009 68:823–827</w:t>
      </w:r>
      <w:r w:rsidRPr="00EC6F64">
        <w:rPr>
          <w:rFonts w:ascii="Verdana" w:hAnsi="Verdana" w:cs="Arial"/>
          <w:i/>
          <w:iCs/>
          <w:color w:val="000000"/>
          <w:sz w:val="19"/>
          <w:szCs w:val="19"/>
        </w:rPr>
        <w:br/>
      </w:r>
      <w:r w:rsidRPr="00EC6F64">
        <w:rPr>
          <w:rStyle w:val="Emphasis"/>
          <w:rFonts w:ascii="Verdana" w:hAnsi="Verdana" w:cs="Arial"/>
          <w:color w:val="000000"/>
          <w:sz w:val="19"/>
          <w:szCs w:val="19"/>
        </w:rPr>
        <w:t xml:space="preserve">8. Van der Heijde D, Schiff M, Keystone E, et al. </w:t>
      </w:r>
      <w:r>
        <w:rPr>
          <w:rStyle w:val="Emphasis"/>
          <w:rFonts w:ascii="Verdana" w:hAnsi="Verdana" w:cs="Arial"/>
          <w:color w:val="000000"/>
          <w:sz w:val="19"/>
          <w:szCs w:val="19"/>
          <w:lang w:val="en"/>
        </w:rPr>
        <w:t xml:space="preserve">Time to and level of initial DAS28 change with </w:t>
      </w:r>
      <w:proofErr w:type="spellStart"/>
      <w:r>
        <w:rPr>
          <w:rStyle w:val="Emphasis"/>
          <w:rFonts w:ascii="Verdana" w:hAnsi="Verdana" w:cs="Arial"/>
          <w:color w:val="000000"/>
          <w:sz w:val="19"/>
          <w:szCs w:val="19"/>
          <w:lang w:val="en"/>
        </w:rPr>
        <w:t>certolizumab</w:t>
      </w:r>
      <w:proofErr w:type="spellEnd"/>
      <w:r>
        <w:rPr>
          <w:rStyle w:val="Emphasis"/>
          <w:rFonts w:ascii="Verdana" w:hAnsi="Verdana" w:cs="Arial"/>
          <w:color w:val="000000"/>
          <w:sz w:val="19"/>
          <w:szCs w:val="19"/>
          <w:lang w:val="en"/>
        </w:rPr>
        <w:t xml:space="preserve"> </w:t>
      </w:r>
      <w:proofErr w:type="spellStart"/>
      <w:r>
        <w:rPr>
          <w:rStyle w:val="Emphasis"/>
          <w:rFonts w:ascii="Verdana" w:hAnsi="Verdana" w:cs="Arial"/>
          <w:color w:val="000000"/>
          <w:sz w:val="19"/>
          <w:szCs w:val="19"/>
          <w:lang w:val="en"/>
        </w:rPr>
        <w:t>pegol</w:t>
      </w:r>
      <w:proofErr w:type="spellEnd"/>
      <w:r>
        <w:rPr>
          <w:rStyle w:val="Emphasis"/>
          <w:rFonts w:ascii="Verdana" w:hAnsi="Verdana" w:cs="Arial"/>
          <w:color w:val="000000"/>
          <w:sz w:val="19"/>
          <w:szCs w:val="19"/>
          <w:lang w:val="en"/>
        </w:rPr>
        <w:t xml:space="preserve"> predicts the likelihood of having low disease activity at years 1 and 2 in patient with rheumatoid arthritis. Ann Rheum Dis (2010)</w:t>
      </w:r>
      <w:proofErr w:type="gramStart"/>
      <w:r>
        <w:rPr>
          <w:rStyle w:val="Emphasis"/>
          <w:rFonts w:ascii="Verdana" w:hAnsi="Verdana" w:cs="Arial"/>
          <w:color w:val="000000"/>
          <w:sz w:val="19"/>
          <w:szCs w:val="19"/>
          <w:lang w:val="en"/>
        </w:rPr>
        <w:t>;69</w:t>
      </w:r>
      <w:proofErr w:type="gramEnd"/>
      <w:r>
        <w:rPr>
          <w:rStyle w:val="Emphasis"/>
          <w:rFonts w:ascii="Verdana" w:hAnsi="Verdana" w:cs="Arial"/>
          <w:color w:val="000000"/>
          <w:sz w:val="19"/>
          <w:szCs w:val="19"/>
          <w:lang w:val="en"/>
        </w:rPr>
        <w:t>(Suppl3):505</w:t>
      </w:r>
    </w:p>
    <w:p w:rsidR="00EC6F64" w:rsidRDefault="00EC6F64" w:rsidP="00EC6F64">
      <w:pPr>
        <w:shd w:val="clear" w:color="auto" w:fill="666666"/>
        <w:spacing w:line="15" w:lineRule="atLeast"/>
        <w:rPr>
          <w:rFonts w:ascii="Verdana" w:hAnsi="Verdana" w:cs="Arial"/>
          <w:vanish/>
          <w:color w:val="000000"/>
          <w:sz w:val="17"/>
          <w:szCs w:val="17"/>
          <w:lang w:val="en"/>
        </w:rPr>
      </w:pPr>
      <w:r>
        <w:rPr>
          <w:rFonts w:ascii="Verdana" w:hAnsi="Verdana" w:cs="Arial"/>
          <w:vanish/>
          <w:color w:val="000000"/>
          <w:sz w:val="17"/>
          <w:szCs w:val="17"/>
          <w:lang w:val="en"/>
        </w:rPr>
        <w:t> </w:t>
      </w:r>
    </w:p>
    <w:p w:rsidR="00EC6F64" w:rsidRDefault="00EC6F64" w:rsidP="00EC6F64">
      <w:pPr>
        <w:rPr>
          <w:rFonts w:ascii="Verdana" w:hAnsi="Verdana" w:cs="Arial"/>
          <w:color w:val="000000"/>
          <w:sz w:val="17"/>
          <w:szCs w:val="17"/>
          <w:lang w:val="en"/>
        </w:rPr>
      </w:pPr>
    </w:p>
    <w:p w:rsidR="00EC6F64" w:rsidRDefault="00EC6F64" w:rsidP="00EC6F64">
      <w:pPr>
        <w:rPr>
          <w:rFonts w:ascii="Arial" w:hAnsi="Arial" w:cs="Arial"/>
          <w:b/>
          <w:bCs/>
          <w:caps/>
          <w:color w:val="BA3209"/>
          <w:sz w:val="20"/>
          <w:szCs w:val="20"/>
          <w:lang w:val="en"/>
        </w:rPr>
      </w:pPr>
      <w:r>
        <w:rPr>
          <w:rFonts w:ascii="Arial" w:hAnsi="Arial" w:cs="Arial"/>
          <w:b/>
          <w:bCs/>
          <w:caps/>
          <w:color w:val="BA3209"/>
          <w:sz w:val="20"/>
          <w:szCs w:val="20"/>
          <w:lang w:val="en"/>
        </w:rPr>
        <w:t>For more information contact:</w:t>
      </w:r>
    </w:p>
    <w:p w:rsidR="00EC6F64" w:rsidRDefault="00EC6F64" w:rsidP="00EC6F64">
      <w:pPr>
        <w:rPr>
          <w:rFonts w:ascii="Verdana" w:hAnsi="Verdana" w:cs="Arial"/>
          <w:color w:val="000000"/>
          <w:sz w:val="17"/>
          <w:szCs w:val="17"/>
          <w:lang w:val="en"/>
        </w:rPr>
      </w:pPr>
    </w:p>
    <w:p w:rsidR="00EC6F64" w:rsidRDefault="00EC6F64" w:rsidP="00EC6F64">
      <w:pPr>
        <w:rPr>
          <w:rFonts w:ascii="Verdana" w:hAnsi="Verdana" w:cs="Arial"/>
          <w:color w:val="000000"/>
          <w:sz w:val="17"/>
          <w:szCs w:val="17"/>
          <w:lang w:val="en"/>
        </w:rPr>
      </w:pPr>
      <w:r>
        <w:rPr>
          <w:rFonts w:ascii="Verdana" w:hAnsi="Verdana" w:cs="Arial"/>
          <w:color w:val="000000"/>
          <w:sz w:val="17"/>
          <w:szCs w:val="17"/>
          <w:lang w:val="en"/>
        </w:rPr>
        <w:t xml:space="preserve">UCB Media Room </w:t>
      </w:r>
      <w:r>
        <w:rPr>
          <w:rFonts w:ascii="Verdana" w:hAnsi="Verdana" w:cs="Arial"/>
          <w:color w:val="000000"/>
          <w:sz w:val="17"/>
          <w:szCs w:val="17"/>
          <w:lang w:val="en"/>
        </w:rPr>
        <w:br/>
        <w:t xml:space="preserve">e: </w:t>
      </w:r>
      <w:hyperlink r:id="rId14" w:history="1">
        <w:r>
          <w:rPr>
            <w:rStyle w:val="Hyperlink"/>
            <w:lang w:val="en"/>
          </w:rPr>
          <w:t>UCB.MediaRoom@ucb.com</w:t>
        </w:r>
      </w:hyperlink>
      <w:r>
        <w:rPr>
          <w:rFonts w:ascii="Verdana" w:hAnsi="Verdana" w:cs="Arial"/>
          <w:color w:val="000000"/>
          <w:sz w:val="17"/>
          <w:szCs w:val="17"/>
          <w:lang w:val="en"/>
        </w:rPr>
        <w:t xml:space="preserve"> </w:t>
      </w:r>
    </w:p>
    <w:p w:rsidR="00EC6F64" w:rsidRDefault="00EC6F64" w:rsidP="00EC6F64">
      <w:pPr>
        <w:spacing w:line="0" w:lineRule="atLeast"/>
        <w:rPr>
          <w:rFonts w:ascii="Verdana" w:hAnsi="Verdana" w:cs="Arial"/>
          <w:color w:val="000000"/>
          <w:sz w:val="2"/>
          <w:szCs w:val="2"/>
          <w:lang w:val="en"/>
        </w:rPr>
      </w:pPr>
      <w:r>
        <w:rPr>
          <w:rFonts w:ascii="Verdana" w:hAnsi="Verdana" w:cs="Arial"/>
          <w:color w:val="000000"/>
          <w:sz w:val="2"/>
          <w:szCs w:val="2"/>
          <w:lang w:val="en"/>
        </w:rPr>
        <w:t> </w:t>
      </w:r>
    </w:p>
    <w:p w:rsidR="00EC6F64" w:rsidRDefault="00EC6F64" w:rsidP="00EC6F64">
      <w:pPr>
        <w:rPr>
          <w:rFonts w:ascii="Verdana" w:hAnsi="Verdana" w:cs="Arial"/>
          <w:color w:val="000000"/>
          <w:sz w:val="17"/>
          <w:szCs w:val="17"/>
          <w:lang w:val="en"/>
        </w:rPr>
      </w:pPr>
    </w:p>
    <w:p w:rsidR="00027B09" w:rsidRPr="00EC6F64" w:rsidRDefault="00027B09">
      <w:pPr>
        <w:rPr>
          <w:lang w:val="en-US"/>
        </w:rPr>
      </w:pPr>
    </w:p>
    <w:sectPr w:rsidR="00027B09" w:rsidRPr="00EC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64"/>
    <w:rsid w:val="00000D12"/>
    <w:rsid w:val="000017B2"/>
    <w:rsid w:val="00003349"/>
    <w:rsid w:val="000037B3"/>
    <w:rsid w:val="00005B55"/>
    <w:rsid w:val="00006D67"/>
    <w:rsid w:val="00006DC8"/>
    <w:rsid w:val="00007C4D"/>
    <w:rsid w:val="00007D96"/>
    <w:rsid w:val="0001011C"/>
    <w:rsid w:val="000120B1"/>
    <w:rsid w:val="000137A7"/>
    <w:rsid w:val="00013C79"/>
    <w:rsid w:val="00014203"/>
    <w:rsid w:val="00015188"/>
    <w:rsid w:val="0001579C"/>
    <w:rsid w:val="000159F1"/>
    <w:rsid w:val="00015CD7"/>
    <w:rsid w:val="00016227"/>
    <w:rsid w:val="00016618"/>
    <w:rsid w:val="000174DB"/>
    <w:rsid w:val="000175A5"/>
    <w:rsid w:val="00020332"/>
    <w:rsid w:val="00020DFB"/>
    <w:rsid w:val="00021126"/>
    <w:rsid w:val="0002207F"/>
    <w:rsid w:val="0002264D"/>
    <w:rsid w:val="000230DD"/>
    <w:rsid w:val="00023585"/>
    <w:rsid w:val="0002579E"/>
    <w:rsid w:val="00025BF2"/>
    <w:rsid w:val="0002617D"/>
    <w:rsid w:val="00026BCD"/>
    <w:rsid w:val="00027B09"/>
    <w:rsid w:val="00027C99"/>
    <w:rsid w:val="000305B1"/>
    <w:rsid w:val="00034066"/>
    <w:rsid w:val="000344BA"/>
    <w:rsid w:val="000346AA"/>
    <w:rsid w:val="0003561D"/>
    <w:rsid w:val="00035C1B"/>
    <w:rsid w:val="00036DF0"/>
    <w:rsid w:val="000373CB"/>
    <w:rsid w:val="000406E3"/>
    <w:rsid w:val="00040C58"/>
    <w:rsid w:val="00041F72"/>
    <w:rsid w:val="00042E44"/>
    <w:rsid w:val="00044C66"/>
    <w:rsid w:val="00045068"/>
    <w:rsid w:val="00045135"/>
    <w:rsid w:val="0004551F"/>
    <w:rsid w:val="00045C2A"/>
    <w:rsid w:val="00045C46"/>
    <w:rsid w:val="00046667"/>
    <w:rsid w:val="0004666C"/>
    <w:rsid w:val="0004774A"/>
    <w:rsid w:val="00047B4E"/>
    <w:rsid w:val="00047C3F"/>
    <w:rsid w:val="00047CC9"/>
    <w:rsid w:val="00047D4F"/>
    <w:rsid w:val="00050722"/>
    <w:rsid w:val="00050B16"/>
    <w:rsid w:val="00050BEF"/>
    <w:rsid w:val="00053570"/>
    <w:rsid w:val="00053FA4"/>
    <w:rsid w:val="00054616"/>
    <w:rsid w:val="00054D08"/>
    <w:rsid w:val="00055650"/>
    <w:rsid w:val="0005594A"/>
    <w:rsid w:val="00056685"/>
    <w:rsid w:val="000579B6"/>
    <w:rsid w:val="00057DBF"/>
    <w:rsid w:val="00061397"/>
    <w:rsid w:val="00062157"/>
    <w:rsid w:val="000640D3"/>
    <w:rsid w:val="00064776"/>
    <w:rsid w:val="000651E0"/>
    <w:rsid w:val="0006732D"/>
    <w:rsid w:val="000676B3"/>
    <w:rsid w:val="0007085A"/>
    <w:rsid w:val="000713C7"/>
    <w:rsid w:val="00071A21"/>
    <w:rsid w:val="00071BA5"/>
    <w:rsid w:val="00072176"/>
    <w:rsid w:val="000734D6"/>
    <w:rsid w:val="000747DC"/>
    <w:rsid w:val="0007745A"/>
    <w:rsid w:val="00081548"/>
    <w:rsid w:val="00081B5D"/>
    <w:rsid w:val="00081E1A"/>
    <w:rsid w:val="000848D8"/>
    <w:rsid w:val="00084E6A"/>
    <w:rsid w:val="0008671A"/>
    <w:rsid w:val="000868EE"/>
    <w:rsid w:val="00087249"/>
    <w:rsid w:val="00090784"/>
    <w:rsid w:val="00091934"/>
    <w:rsid w:val="00091F06"/>
    <w:rsid w:val="0009251A"/>
    <w:rsid w:val="0009337B"/>
    <w:rsid w:val="00093BBC"/>
    <w:rsid w:val="00095510"/>
    <w:rsid w:val="000975FE"/>
    <w:rsid w:val="00097CA6"/>
    <w:rsid w:val="000A020E"/>
    <w:rsid w:val="000A07D9"/>
    <w:rsid w:val="000A1413"/>
    <w:rsid w:val="000A2181"/>
    <w:rsid w:val="000A4B3B"/>
    <w:rsid w:val="000A4B71"/>
    <w:rsid w:val="000A5033"/>
    <w:rsid w:val="000A5538"/>
    <w:rsid w:val="000A5613"/>
    <w:rsid w:val="000A6133"/>
    <w:rsid w:val="000A7091"/>
    <w:rsid w:val="000A7209"/>
    <w:rsid w:val="000B0277"/>
    <w:rsid w:val="000B237B"/>
    <w:rsid w:val="000B290B"/>
    <w:rsid w:val="000B7147"/>
    <w:rsid w:val="000C00AD"/>
    <w:rsid w:val="000C0596"/>
    <w:rsid w:val="000C0832"/>
    <w:rsid w:val="000C11D3"/>
    <w:rsid w:val="000C2829"/>
    <w:rsid w:val="000C2C84"/>
    <w:rsid w:val="000C3C81"/>
    <w:rsid w:val="000C3D01"/>
    <w:rsid w:val="000C4244"/>
    <w:rsid w:val="000C4B5C"/>
    <w:rsid w:val="000C5134"/>
    <w:rsid w:val="000C63EE"/>
    <w:rsid w:val="000C67D7"/>
    <w:rsid w:val="000C71B3"/>
    <w:rsid w:val="000C7B26"/>
    <w:rsid w:val="000D1C40"/>
    <w:rsid w:val="000D2B54"/>
    <w:rsid w:val="000D383E"/>
    <w:rsid w:val="000D434B"/>
    <w:rsid w:val="000D540C"/>
    <w:rsid w:val="000D63E4"/>
    <w:rsid w:val="000D6D1A"/>
    <w:rsid w:val="000D7B2F"/>
    <w:rsid w:val="000E06E8"/>
    <w:rsid w:val="000E16EE"/>
    <w:rsid w:val="000E2211"/>
    <w:rsid w:val="000E34E4"/>
    <w:rsid w:val="000E3E1A"/>
    <w:rsid w:val="000E507D"/>
    <w:rsid w:val="000E50A7"/>
    <w:rsid w:val="000E54C8"/>
    <w:rsid w:val="000E66E9"/>
    <w:rsid w:val="000E7FE3"/>
    <w:rsid w:val="000F125C"/>
    <w:rsid w:val="000F1FDF"/>
    <w:rsid w:val="000F3009"/>
    <w:rsid w:val="000F3E41"/>
    <w:rsid w:val="000F3F04"/>
    <w:rsid w:val="000F45F0"/>
    <w:rsid w:val="000F5AAC"/>
    <w:rsid w:val="000F64B0"/>
    <w:rsid w:val="000F67F0"/>
    <w:rsid w:val="000F6AF9"/>
    <w:rsid w:val="00100553"/>
    <w:rsid w:val="00101B79"/>
    <w:rsid w:val="00103B74"/>
    <w:rsid w:val="00103D77"/>
    <w:rsid w:val="00106C7B"/>
    <w:rsid w:val="00106EFB"/>
    <w:rsid w:val="00111B4F"/>
    <w:rsid w:val="00113D96"/>
    <w:rsid w:val="0011421E"/>
    <w:rsid w:val="001149BD"/>
    <w:rsid w:val="00114CEC"/>
    <w:rsid w:val="00114EB7"/>
    <w:rsid w:val="0011697D"/>
    <w:rsid w:val="00117B90"/>
    <w:rsid w:val="00120C0D"/>
    <w:rsid w:val="001221D4"/>
    <w:rsid w:val="00122B86"/>
    <w:rsid w:val="00123207"/>
    <w:rsid w:val="001232BE"/>
    <w:rsid w:val="00124A90"/>
    <w:rsid w:val="00126D20"/>
    <w:rsid w:val="001307E3"/>
    <w:rsid w:val="001311A8"/>
    <w:rsid w:val="00132BAE"/>
    <w:rsid w:val="00132F71"/>
    <w:rsid w:val="00133771"/>
    <w:rsid w:val="00133AFC"/>
    <w:rsid w:val="00134FA0"/>
    <w:rsid w:val="00135A0B"/>
    <w:rsid w:val="00135E35"/>
    <w:rsid w:val="0013660B"/>
    <w:rsid w:val="00136C82"/>
    <w:rsid w:val="00136E16"/>
    <w:rsid w:val="00136E65"/>
    <w:rsid w:val="00136E90"/>
    <w:rsid w:val="00141CF3"/>
    <w:rsid w:val="001450AC"/>
    <w:rsid w:val="0014556F"/>
    <w:rsid w:val="00145618"/>
    <w:rsid w:val="001461C3"/>
    <w:rsid w:val="00147078"/>
    <w:rsid w:val="00147881"/>
    <w:rsid w:val="00151A45"/>
    <w:rsid w:val="00151F35"/>
    <w:rsid w:val="0015311C"/>
    <w:rsid w:val="00154597"/>
    <w:rsid w:val="00155B11"/>
    <w:rsid w:val="00155DA1"/>
    <w:rsid w:val="00156562"/>
    <w:rsid w:val="00157BEE"/>
    <w:rsid w:val="0016030C"/>
    <w:rsid w:val="0016107C"/>
    <w:rsid w:val="00161F19"/>
    <w:rsid w:val="0016200C"/>
    <w:rsid w:val="00163C19"/>
    <w:rsid w:val="00164482"/>
    <w:rsid w:val="00164492"/>
    <w:rsid w:val="001648C4"/>
    <w:rsid w:val="00164C85"/>
    <w:rsid w:val="00164CFD"/>
    <w:rsid w:val="00165148"/>
    <w:rsid w:val="00165AA6"/>
    <w:rsid w:val="00166A52"/>
    <w:rsid w:val="00171801"/>
    <w:rsid w:val="0017196A"/>
    <w:rsid w:val="00172367"/>
    <w:rsid w:val="00173585"/>
    <w:rsid w:val="00173A26"/>
    <w:rsid w:val="00174092"/>
    <w:rsid w:val="00174485"/>
    <w:rsid w:val="00174E84"/>
    <w:rsid w:val="00177174"/>
    <w:rsid w:val="001779BA"/>
    <w:rsid w:val="001807D5"/>
    <w:rsid w:val="00183084"/>
    <w:rsid w:val="00184777"/>
    <w:rsid w:val="0018674E"/>
    <w:rsid w:val="00187988"/>
    <w:rsid w:val="00187DBC"/>
    <w:rsid w:val="001905F0"/>
    <w:rsid w:val="0019171D"/>
    <w:rsid w:val="001923AB"/>
    <w:rsid w:val="0019304E"/>
    <w:rsid w:val="001932D5"/>
    <w:rsid w:val="00193945"/>
    <w:rsid w:val="00194A41"/>
    <w:rsid w:val="00194A48"/>
    <w:rsid w:val="00194C7A"/>
    <w:rsid w:val="00196D4D"/>
    <w:rsid w:val="00197266"/>
    <w:rsid w:val="00197654"/>
    <w:rsid w:val="00197E69"/>
    <w:rsid w:val="001A02A5"/>
    <w:rsid w:val="001A169F"/>
    <w:rsid w:val="001A17C1"/>
    <w:rsid w:val="001A2C05"/>
    <w:rsid w:val="001A2C97"/>
    <w:rsid w:val="001A41E7"/>
    <w:rsid w:val="001A54A7"/>
    <w:rsid w:val="001A58A9"/>
    <w:rsid w:val="001A58D0"/>
    <w:rsid w:val="001A6486"/>
    <w:rsid w:val="001A7868"/>
    <w:rsid w:val="001A7AB9"/>
    <w:rsid w:val="001B0635"/>
    <w:rsid w:val="001B06E8"/>
    <w:rsid w:val="001B1484"/>
    <w:rsid w:val="001B1CCC"/>
    <w:rsid w:val="001B2EE6"/>
    <w:rsid w:val="001B3422"/>
    <w:rsid w:val="001B3CC9"/>
    <w:rsid w:val="001B3D5A"/>
    <w:rsid w:val="001B4195"/>
    <w:rsid w:val="001B4A16"/>
    <w:rsid w:val="001B544F"/>
    <w:rsid w:val="001B5C46"/>
    <w:rsid w:val="001B5EC3"/>
    <w:rsid w:val="001B69D2"/>
    <w:rsid w:val="001B6AC1"/>
    <w:rsid w:val="001B6C01"/>
    <w:rsid w:val="001B7734"/>
    <w:rsid w:val="001C03CB"/>
    <w:rsid w:val="001C0645"/>
    <w:rsid w:val="001C12F1"/>
    <w:rsid w:val="001C1617"/>
    <w:rsid w:val="001C2257"/>
    <w:rsid w:val="001C39F7"/>
    <w:rsid w:val="001C52DB"/>
    <w:rsid w:val="001C5CB1"/>
    <w:rsid w:val="001C5D3C"/>
    <w:rsid w:val="001C6667"/>
    <w:rsid w:val="001D0DC6"/>
    <w:rsid w:val="001D0DDD"/>
    <w:rsid w:val="001D10C8"/>
    <w:rsid w:val="001D1905"/>
    <w:rsid w:val="001D2845"/>
    <w:rsid w:val="001D2D66"/>
    <w:rsid w:val="001D33BA"/>
    <w:rsid w:val="001D625F"/>
    <w:rsid w:val="001D6BFF"/>
    <w:rsid w:val="001D6E68"/>
    <w:rsid w:val="001E14C5"/>
    <w:rsid w:val="001E18B5"/>
    <w:rsid w:val="001E1D83"/>
    <w:rsid w:val="001E25D4"/>
    <w:rsid w:val="001E2770"/>
    <w:rsid w:val="001E3241"/>
    <w:rsid w:val="001E34F1"/>
    <w:rsid w:val="001E41F6"/>
    <w:rsid w:val="001E691C"/>
    <w:rsid w:val="001E70AF"/>
    <w:rsid w:val="001E7DE1"/>
    <w:rsid w:val="001F1C53"/>
    <w:rsid w:val="001F1EC0"/>
    <w:rsid w:val="001F32B0"/>
    <w:rsid w:val="001F415D"/>
    <w:rsid w:val="001F4E92"/>
    <w:rsid w:val="001F52AD"/>
    <w:rsid w:val="001F5B4E"/>
    <w:rsid w:val="001F6218"/>
    <w:rsid w:val="001F62C8"/>
    <w:rsid w:val="001F6407"/>
    <w:rsid w:val="001F6A84"/>
    <w:rsid w:val="001F71E8"/>
    <w:rsid w:val="001F769A"/>
    <w:rsid w:val="00200AA6"/>
    <w:rsid w:val="00201721"/>
    <w:rsid w:val="00201E65"/>
    <w:rsid w:val="00202129"/>
    <w:rsid w:val="00202A2F"/>
    <w:rsid w:val="0020302D"/>
    <w:rsid w:val="002042AE"/>
    <w:rsid w:val="00204701"/>
    <w:rsid w:val="00205059"/>
    <w:rsid w:val="00205458"/>
    <w:rsid w:val="00206192"/>
    <w:rsid w:val="00206328"/>
    <w:rsid w:val="00206E64"/>
    <w:rsid w:val="00207C2A"/>
    <w:rsid w:val="00207CC3"/>
    <w:rsid w:val="0021166F"/>
    <w:rsid w:val="00211A4C"/>
    <w:rsid w:val="00211BB5"/>
    <w:rsid w:val="0021294D"/>
    <w:rsid w:val="00214B67"/>
    <w:rsid w:val="002156CE"/>
    <w:rsid w:val="00216163"/>
    <w:rsid w:val="00220124"/>
    <w:rsid w:val="002217AF"/>
    <w:rsid w:val="00221E61"/>
    <w:rsid w:val="00225615"/>
    <w:rsid w:val="00225F08"/>
    <w:rsid w:val="00226325"/>
    <w:rsid w:val="002266AE"/>
    <w:rsid w:val="00226740"/>
    <w:rsid w:val="002268AF"/>
    <w:rsid w:val="002301EC"/>
    <w:rsid w:val="00230DBD"/>
    <w:rsid w:val="00230F5F"/>
    <w:rsid w:val="00231807"/>
    <w:rsid w:val="00231A90"/>
    <w:rsid w:val="00232892"/>
    <w:rsid w:val="002345C9"/>
    <w:rsid w:val="002354CA"/>
    <w:rsid w:val="00235E24"/>
    <w:rsid w:val="0023623B"/>
    <w:rsid w:val="0023635E"/>
    <w:rsid w:val="00236481"/>
    <w:rsid w:val="00236C43"/>
    <w:rsid w:val="00236EF1"/>
    <w:rsid w:val="00237F03"/>
    <w:rsid w:val="002402BA"/>
    <w:rsid w:val="002409DE"/>
    <w:rsid w:val="0024157E"/>
    <w:rsid w:val="002419C8"/>
    <w:rsid w:val="00241B5B"/>
    <w:rsid w:val="00242605"/>
    <w:rsid w:val="00242C56"/>
    <w:rsid w:val="00243477"/>
    <w:rsid w:val="00243FA0"/>
    <w:rsid w:val="002455EA"/>
    <w:rsid w:val="00246949"/>
    <w:rsid w:val="00246E45"/>
    <w:rsid w:val="002471E3"/>
    <w:rsid w:val="002517D1"/>
    <w:rsid w:val="00251FE9"/>
    <w:rsid w:val="002523C7"/>
    <w:rsid w:val="00252478"/>
    <w:rsid w:val="002524FB"/>
    <w:rsid w:val="00253C33"/>
    <w:rsid w:val="00253F92"/>
    <w:rsid w:val="00254250"/>
    <w:rsid w:val="002547D9"/>
    <w:rsid w:val="00255285"/>
    <w:rsid w:val="00255A0D"/>
    <w:rsid w:val="00255C36"/>
    <w:rsid w:val="002567C3"/>
    <w:rsid w:val="002572DC"/>
    <w:rsid w:val="00257508"/>
    <w:rsid w:val="002578C4"/>
    <w:rsid w:val="00260443"/>
    <w:rsid w:val="00261CFD"/>
    <w:rsid w:val="00261EE4"/>
    <w:rsid w:val="002631BB"/>
    <w:rsid w:val="00263851"/>
    <w:rsid w:val="00264DC8"/>
    <w:rsid w:val="00267CFC"/>
    <w:rsid w:val="0027030C"/>
    <w:rsid w:val="002704AC"/>
    <w:rsid w:val="0027089D"/>
    <w:rsid w:val="002728F8"/>
    <w:rsid w:val="0027315B"/>
    <w:rsid w:val="0027399F"/>
    <w:rsid w:val="002759C7"/>
    <w:rsid w:val="00275E88"/>
    <w:rsid w:val="00276997"/>
    <w:rsid w:val="002777EB"/>
    <w:rsid w:val="00277B43"/>
    <w:rsid w:val="00280478"/>
    <w:rsid w:val="002814DA"/>
    <w:rsid w:val="00281BB7"/>
    <w:rsid w:val="00283795"/>
    <w:rsid w:val="00283BCC"/>
    <w:rsid w:val="002853D5"/>
    <w:rsid w:val="00285D81"/>
    <w:rsid w:val="00285DD9"/>
    <w:rsid w:val="00286635"/>
    <w:rsid w:val="00290A74"/>
    <w:rsid w:val="00290B3D"/>
    <w:rsid w:val="00290BD1"/>
    <w:rsid w:val="00291046"/>
    <w:rsid w:val="00292583"/>
    <w:rsid w:val="00292D4E"/>
    <w:rsid w:val="00293593"/>
    <w:rsid w:val="0029363F"/>
    <w:rsid w:val="00294CB6"/>
    <w:rsid w:val="00295253"/>
    <w:rsid w:val="00295361"/>
    <w:rsid w:val="00295B72"/>
    <w:rsid w:val="002960D4"/>
    <w:rsid w:val="002965F5"/>
    <w:rsid w:val="0029730C"/>
    <w:rsid w:val="00297FDE"/>
    <w:rsid w:val="002A1080"/>
    <w:rsid w:val="002A117F"/>
    <w:rsid w:val="002A19AF"/>
    <w:rsid w:val="002A356A"/>
    <w:rsid w:val="002A38CF"/>
    <w:rsid w:val="002A3AC6"/>
    <w:rsid w:val="002A44DA"/>
    <w:rsid w:val="002A484D"/>
    <w:rsid w:val="002A625E"/>
    <w:rsid w:val="002A6800"/>
    <w:rsid w:val="002B0522"/>
    <w:rsid w:val="002B21A3"/>
    <w:rsid w:val="002B2ABD"/>
    <w:rsid w:val="002B2FA2"/>
    <w:rsid w:val="002B49B9"/>
    <w:rsid w:val="002B7224"/>
    <w:rsid w:val="002B77EE"/>
    <w:rsid w:val="002B7D63"/>
    <w:rsid w:val="002C00E2"/>
    <w:rsid w:val="002C12BA"/>
    <w:rsid w:val="002C20EB"/>
    <w:rsid w:val="002C42DD"/>
    <w:rsid w:val="002C4552"/>
    <w:rsid w:val="002C492B"/>
    <w:rsid w:val="002C4EF2"/>
    <w:rsid w:val="002C584C"/>
    <w:rsid w:val="002C7413"/>
    <w:rsid w:val="002C7A3D"/>
    <w:rsid w:val="002D142C"/>
    <w:rsid w:val="002D177B"/>
    <w:rsid w:val="002D1CB1"/>
    <w:rsid w:val="002D3126"/>
    <w:rsid w:val="002D3200"/>
    <w:rsid w:val="002D594E"/>
    <w:rsid w:val="002D6167"/>
    <w:rsid w:val="002D6C6D"/>
    <w:rsid w:val="002D7080"/>
    <w:rsid w:val="002D79EF"/>
    <w:rsid w:val="002E069E"/>
    <w:rsid w:val="002E0CCF"/>
    <w:rsid w:val="002E0D53"/>
    <w:rsid w:val="002E1F4B"/>
    <w:rsid w:val="002E2F75"/>
    <w:rsid w:val="002E3747"/>
    <w:rsid w:val="002E3B07"/>
    <w:rsid w:val="002E3F9F"/>
    <w:rsid w:val="002E5E17"/>
    <w:rsid w:val="002E6695"/>
    <w:rsid w:val="002E681E"/>
    <w:rsid w:val="002E6964"/>
    <w:rsid w:val="002E742D"/>
    <w:rsid w:val="002F0CAC"/>
    <w:rsid w:val="002F1767"/>
    <w:rsid w:val="002F1FD9"/>
    <w:rsid w:val="002F2D8F"/>
    <w:rsid w:val="002F3EE3"/>
    <w:rsid w:val="002F5316"/>
    <w:rsid w:val="002F68F8"/>
    <w:rsid w:val="002F763C"/>
    <w:rsid w:val="0030029C"/>
    <w:rsid w:val="00300823"/>
    <w:rsid w:val="00301130"/>
    <w:rsid w:val="00302317"/>
    <w:rsid w:val="0030332E"/>
    <w:rsid w:val="00306C6D"/>
    <w:rsid w:val="00306F9D"/>
    <w:rsid w:val="0030704A"/>
    <w:rsid w:val="003070E8"/>
    <w:rsid w:val="00307BB5"/>
    <w:rsid w:val="00310D51"/>
    <w:rsid w:val="00312375"/>
    <w:rsid w:val="00312794"/>
    <w:rsid w:val="00312BC3"/>
    <w:rsid w:val="00314AA6"/>
    <w:rsid w:val="00315B98"/>
    <w:rsid w:val="0031737E"/>
    <w:rsid w:val="003204E7"/>
    <w:rsid w:val="00321355"/>
    <w:rsid w:val="003222C6"/>
    <w:rsid w:val="00322758"/>
    <w:rsid w:val="00322BA5"/>
    <w:rsid w:val="00325473"/>
    <w:rsid w:val="0032687E"/>
    <w:rsid w:val="00326900"/>
    <w:rsid w:val="00330E36"/>
    <w:rsid w:val="00331EB7"/>
    <w:rsid w:val="0033351E"/>
    <w:rsid w:val="00333B63"/>
    <w:rsid w:val="0033402C"/>
    <w:rsid w:val="003352D6"/>
    <w:rsid w:val="003360A0"/>
    <w:rsid w:val="00336334"/>
    <w:rsid w:val="00337482"/>
    <w:rsid w:val="003374A2"/>
    <w:rsid w:val="003410CE"/>
    <w:rsid w:val="003411FB"/>
    <w:rsid w:val="00341CC7"/>
    <w:rsid w:val="0034318C"/>
    <w:rsid w:val="0034444D"/>
    <w:rsid w:val="003445D7"/>
    <w:rsid w:val="00344995"/>
    <w:rsid w:val="003453D7"/>
    <w:rsid w:val="00345E6A"/>
    <w:rsid w:val="00347F5F"/>
    <w:rsid w:val="00347F7C"/>
    <w:rsid w:val="00350F36"/>
    <w:rsid w:val="00351024"/>
    <w:rsid w:val="00351167"/>
    <w:rsid w:val="00351654"/>
    <w:rsid w:val="00352806"/>
    <w:rsid w:val="00352D7F"/>
    <w:rsid w:val="003533AE"/>
    <w:rsid w:val="00353662"/>
    <w:rsid w:val="0035625C"/>
    <w:rsid w:val="003603B7"/>
    <w:rsid w:val="00361306"/>
    <w:rsid w:val="00361746"/>
    <w:rsid w:val="003620F0"/>
    <w:rsid w:val="0036274E"/>
    <w:rsid w:val="00365C9C"/>
    <w:rsid w:val="00367064"/>
    <w:rsid w:val="00367C42"/>
    <w:rsid w:val="00370175"/>
    <w:rsid w:val="00370485"/>
    <w:rsid w:val="00372EA5"/>
    <w:rsid w:val="00374FC6"/>
    <w:rsid w:val="0037544A"/>
    <w:rsid w:val="00376792"/>
    <w:rsid w:val="003768DA"/>
    <w:rsid w:val="003774E7"/>
    <w:rsid w:val="00377A16"/>
    <w:rsid w:val="0038052A"/>
    <w:rsid w:val="00380832"/>
    <w:rsid w:val="00381DC2"/>
    <w:rsid w:val="00382603"/>
    <w:rsid w:val="003827DB"/>
    <w:rsid w:val="00383105"/>
    <w:rsid w:val="00384551"/>
    <w:rsid w:val="00384885"/>
    <w:rsid w:val="003857F3"/>
    <w:rsid w:val="00385AE9"/>
    <w:rsid w:val="00386034"/>
    <w:rsid w:val="0038641B"/>
    <w:rsid w:val="00387C8A"/>
    <w:rsid w:val="00387D7D"/>
    <w:rsid w:val="0039462A"/>
    <w:rsid w:val="003948EE"/>
    <w:rsid w:val="003963F3"/>
    <w:rsid w:val="00396423"/>
    <w:rsid w:val="00396712"/>
    <w:rsid w:val="00397AFB"/>
    <w:rsid w:val="00397B55"/>
    <w:rsid w:val="003A06CD"/>
    <w:rsid w:val="003A091F"/>
    <w:rsid w:val="003A25BD"/>
    <w:rsid w:val="003A25E4"/>
    <w:rsid w:val="003A3EDD"/>
    <w:rsid w:val="003A4659"/>
    <w:rsid w:val="003A4BF1"/>
    <w:rsid w:val="003A5C7D"/>
    <w:rsid w:val="003A735E"/>
    <w:rsid w:val="003A7A37"/>
    <w:rsid w:val="003B00F5"/>
    <w:rsid w:val="003B1C1D"/>
    <w:rsid w:val="003B2C62"/>
    <w:rsid w:val="003B2CB9"/>
    <w:rsid w:val="003B5682"/>
    <w:rsid w:val="003B59D9"/>
    <w:rsid w:val="003B6327"/>
    <w:rsid w:val="003B7211"/>
    <w:rsid w:val="003B760D"/>
    <w:rsid w:val="003C02A4"/>
    <w:rsid w:val="003C05D5"/>
    <w:rsid w:val="003C1BB9"/>
    <w:rsid w:val="003C1DF2"/>
    <w:rsid w:val="003C300E"/>
    <w:rsid w:val="003C34B5"/>
    <w:rsid w:val="003C55D8"/>
    <w:rsid w:val="003C5689"/>
    <w:rsid w:val="003C5CAF"/>
    <w:rsid w:val="003C626E"/>
    <w:rsid w:val="003C675F"/>
    <w:rsid w:val="003C782E"/>
    <w:rsid w:val="003C7B07"/>
    <w:rsid w:val="003C7F28"/>
    <w:rsid w:val="003D0A4D"/>
    <w:rsid w:val="003D12A5"/>
    <w:rsid w:val="003D318D"/>
    <w:rsid w:val="003D3E8F"/>
    <w:rsid w:val="003D430E"/>
    <w:rsid w:val="003D77BA"/>
    <w:rsid w:val="003D7B69"/>
    <w:rsid w:val="003E05B1"/>
    <w:rsid w:val="003E05E1"/>
    <w:rsid w:val="003E0DC1"/>
    <w:rsid w:val="003E14C5"/>
    <w:rsid w:val="003E1B42"/>
    <w:rsid w:val="003E2C8F"/>
    <w:rsid w:val="003E2D2E"/>
    <w:rsid w:val="003E30AE"/>
    <w:rsid w:val="003E30B8"/>
    <w:rsid w:val="003E46DE"/>
    <w:rsid w:val="003E5F37"/>
    <w:rsid w:val="003E6B10"/>
    <w:rsid w:val="003E6B8A"/>
    <w:rsid w:val="003F11F4"/>
    <w:rsid w:val="003F1A50"/>
    <w:rsid w:val="003F24CF"/>
    <w:rsid w:val="003F265D"/>
    <w:rsid w:val="003F2A6A"/>
    <w:rsid w:val="003F499C"/>
    <w:rsid w:val="003F4BB3"/>
    <w:rsid w:val="003F5163"/>
    <w:rsid w:val="003F641D"/>
    <w:rsid w:val="003F6F98"/>
    <w:rsid w:val="003F743D"/>
    <w:rsid w:val="003F7DDC"/>
    <w:rsid w:val="00402684"/>
    <w:rsid w:val="00403096"/>
    <w:rsid w:val="00404DAB"/>
    <w:rsid w:val="00406A44"/>
    <w:rsid w:val="004071B3"/>
    <w:rsid w:val="00407541"/>
    <w:rsid w:val="0040795E"/>
    <w:rsid w:val="00410125"/>
    <w:rsid w:val="00410C28"/>
    <w:rsid w:val="00411089"/>
    <w:rsid w:val="004119B4"/>
    <w:rsid w:val="00411A40"/>
    <w:rsid w:val="004134F7"/>
    <w:rsid w:val="00413521"/>
    <w:rsid w:val="00414964"/>
    <w:rsid w:val="00416C4E"/>
    <w:rsid w:val="00417732"/>
    <w:rsid w:val="00417B5D"/>
    <w:rsid w:val="004219FC"/>
    <w:rsid w:val="00421C00"/>
    <w:rsid w:val="00422E5E"/>
    <w:rsid w:val="00422FD0"/>
    <w:rsid w:val="00423BF2"/>
    <w:rsid w:val="0042442F"/>
    <w:rsid w:val="00424E1F"/>
    <w:rsid w:val="004256FE"/>
    <w:rsid w:val="00425E5B"/>
    <w:rsid w:val="00426423"/>
    <w:rsid w:val="00426560"/>
    <w:rsid w:val="004268D0"/>
    <w:rsid w:val="00427027"/>
    <w:rsid w:val="00427495"/>
    <w:rsid w:val="00427A5A"/>
    <w:rsid w:val="00427D17"/>
    <w:rsid w:val="00430C43"/>
    <w:rsid w:val="00432F1D"/>
    <w:rsid w:val="00434462"/>
    <w:rsid w:val="00435318"/>
    <w:rsid w:val="0043625D"/>
    <w:rsid w:val="004363DD"/>
    <w:rsid w:val="00436639"/>
    <w:rsid w:val="00436E4D"/>
    <w:rsid w:val="00440188"/>
    <w:rsid w:val="00440286"/>
    <w:rsid w:val="00440E91"/>
    <w:rsid w:val="0044158E"/>
    <w:rsid w:val="004435AC"/>
    <w:rsid w:val="00443BE5"/>
    <w:rsid w:val="00443E25"/>
    <w:rsid w:val="0044705A"/>
    <w:rsid w:val="004507FA"/>
    <w:rsid w:val="004527A1"/>
    <w:rsid w:val="004527B6"/>
    <w:rsid w:val="00452CB2"/>
    <w:rsid w:val="00453160"/>
    <w:rsid w:val="004535C6"/>
    <w:rsid w:val="004539D3"/>
    <w:rsid w:val="004540A7"/>
    <w:rsid w:val="00455C98"/>
    <w:rsid w:val="00457288"/>
    <w:rsid w:val="00457CA7"/>
    <w:rsid w:val="00460B76"/>
    <w:rsid w:val="00461A6B"/>
    <w:rsid w:val="004646FC"/>
    <w:rsid w:val="004651A5"/>
    <w:rsid w:val="004654F2"/>
    <w:rsid w:val="004654F8"/>
    <w:rsid w:val="00465577"/>
    <w:rsid w:val="004656E8"/>
    <w:rsid w:val="00465D96"/>
    <w:rsid w:val="0046649E"/>
    <w:rsid w:val="00466C5A"/>
    <w:rsid w:val="00467C33"/>
    <w:rsid w:val="00470064"/>
    <w:rsid w:val="00470437"/>
    <w:rsid w:val="00470B45"/>
    <w:rsid w:val="00470EC3"/>
    <w:rsid w:val="00471B41"/>
    <w:rsid w:val="00472B26"/>
    <w:rsid w:val="00473659"/>
    <w:rsid w:val="00473EB5"/>
    <w:rsid w:val="004741A1"/>
    <w:rsid w:val="004742D0"/>
    <w:rsid w:val="00475B01"/>
    <w:rsid w:val="00475E65"/>
    <w:rsid w:val="0047738D"/>
    <w:rsid w:val="004802F4"/>
    <w:rsid w:val="004803BE"/>
    <w:rsid w:val="00482A71"/>
    <w:rsid w:val="00482FC9"/>
    <w:rsid w:val="00483FB2"/>
    <w:rsid w:val="004841E1"/>
    <w:rsid w:val="0048460E"/>
    <w:rsid w:val="00484B8D"/>
    <w:rsid w:val="00485078"/>
    <w:rsid w:val="00486B5C"/>
    <w:rsid w:val="0048771E"/>
    <w:rsid w:val="00487858"/>
    <w:rsid w:val="00490CD2"/>
    <w:rsid w:val="00490EDC"/>
    <w:rsid w:val="00492ECB"/>
    <w:rsid w:val="00492FB3"/>
    <w:rsid w:val="00496E35"/>
    <w:rsid w:val="004976C6"/>
    <w:rsid w:val="00497F8B"/>
    <w:rsid w:val="004A06BF"/>
    <w:rsid w:val="004A0915"/>
    <w:rsid w:val="004A1A29"/>
    <w:rsid w:val="004A1C8A"/>
    <w:rsid w:val="004A24E0"/>
    <w:rsid w:val="004A2996"/>
    <w:rsid w:val="004A2CFD"/>
    <w:rsid w:val="004A4AF7"/>
    <w:rsid w:val="004A5495"/>
    <w:rsid w:val="004A6096"/>
    <w:rsid w:val="004A73CF"/>
    <w:rsid w:val="004A7CDA"/>
    <w:rsid w:val="004A7DAE"/>
    <w:rsid w:val="004B169C"/>
    <w:rsid w:val="004B1ADB"/>
    <w:rsid w:val="004B222F"/>
    <w:rsid w:val="004B2258"/>
    <w:rsid w:val="004B22F5"/>
    <w:rsid w:val="004B251D"/>
    <w:rsid w:val="004B29E2"/>
    <w:rsid w:val="004B2CE6"/>
    <w:rsid w:val="004B2E60"/>
    <w:rsid w:val="004B35D2"/>
    <w:rsid w:val="004B3A6E"/>
    <w:rsid w:val="004B3DDF"/>
    <w:rsid w:val="004B4798"/>
    <w:rsid w:val="004B5E73"/>
    <w:rsid w:val="004B6030"/>
    <w:rsid w:val="004B67E3"/>
    <w:rsid w:val="004C1F24"/>
    <w:rsid w:val="004C2586"/>
    <w:rsid w:val="004C38F7"/>
    <w:rsid w:val="004C3BC9"/>
    <w:rsid w:val="004C43A9"/>
    <w:rsid w:val="004C53C3"/>
    <w:rsid w:val="004C640E"/>
    <w:rsid w:val="004C64D6"/>
    <w:rsid w:val="004C6AF6"/>
    <w:rsid w:val="004C7C67"/>
    <w:rsid w:val="004C7EA6"/>
    <w:rsid w:val="004D0288"/>
    <w:rsid w:val="004D02D5"/>
    <w:rsid w:val="004D0A64"/>
    <w:rsid w:val="004D0E23"/>
    <w:rsid w:val="004D4312"/>
    <w:rsid w:val="004D53A6"/>
    <w:rsid w:val="004D6A62"/>
    <w:rsid w:val="004E05D7"/>
    <w:rsid w:val="004E0BF9"/>
    <w:rsid w:val="004E0CB7"/>
    <w:rsid w:val="004E1AB6"/>
    <w:rsid w:val="004E30FD"/>
    <w:rsid w:val="004E3771"/>
    <w:rsid w:val="004E3C53"/>
    <w:rsid w:val="004E3D05"/>
    <w:rsid w:val="004E6DCE"/>
    <w:rsid w:val="004E7007"/>
    <w:rsid w:val="004F00ED"/>
    <w:rsid w:val="004F1D08"/>
    <w:rsid w:val="004F25B9"/>
    <w:rsid w:val="004F2772"/>
    <w:rsid w:val="004F3AA6"/>
    <w:rsid w:val="004F4736"/>
    <w:rsid w:val="004F6CF9"/>
    <w:rsid w:val="004F7220"/>
    <w:rsid w:val="004F748B"/>
    <w:rsid w:val="004F7497"/>
    <w:rsid w:val="005001D3"/>
    <w:rsid w:val="00500932"/>
    <w:rsid w:val="0050137E"/>
    <w:rsid w:val="005021F5"/>
    <w:rsid w:val="00502BD0"/>
    <w:rsid w:val="005032B8"/>
    <w:rsid w:val="005035B3"/>
    <w:rsid w:val="00503A4C"/>
    <w:rsid w:val="00503D2C"/>
    <w:rsid w:val="00503D3C"/>
    <w:rsid w:val="00504858"/>
    <w:rsid w:val="00505EA7"/>
    <w:rsid w:val="00506CC5"/>
    <w:rsid w:val="00507841"/>
    <w:rsid w:val="00511382"/>
    <w:rsid w:val="00511E66"/>
    <w:rsid w:val="005125FE"/>
    <w:rsid w:val="00512B75"/>
    <w:rsid w:val="005130DC"/>
    <w:rsid w:val="005146C2"/>
    <w:rsid w:val="005161C0"/>
    <w:rsid w:val="00517D8E"/>
    <w:rsid w:val="00520BCD"/>
    <w:rsid w:val="00520F15"/>
    <w:rsid w:val="005213E6"/>
    <w:rsid w:val="00521B2A"/>
    <w:rsid w:val="00521EB7"/>
    <w:rsid w:val="0052254C"/>
    <w:rsid w:val="00522FB9"/>
    <w:rsid w:val="005240E8"/>
    <w:rsid w:val="0052447F"/>
    <w:rsid w:val="005248FB"/>
    <w:rsid w:val="00524AEA"/>
    <w:rsid w:val="00525365"/>
    <w:rsid w:val="0052595E"/>
    <w:rsid w:val="00525E42"/>
    <w:rsid w:val="00525FFE"/>
    <w:rsid w:val="00526CF4"/>
    <w:rsid w:val="00526DB8"/>
    <w:rsid w:val="0053147E"/>
    <w:rsid w:val="005323CB"/>
    <w:rsid w:val="00533442"/>
    <w:rsid w:val="005349AB"/>
    <w:rsid w:val="00534C82"/>
    <w:rsid w:val="00535F27"/>
    <w:rsid w:val="00536504"/>
    <w:rsid w:val="0054242D"/>
    <w:rsid w:val="00542CA8"/>
    <w:rsid w:val="00542ED8"/>
    <w:rsid w:val="00543463"/>
    <w:rsid w:val="0054369C"/>
    <w:rsid w:val="00543C20"/>
    <w:rsid w:val="00544082"/>
    <w:rsid w:val="0054463F"/>
    <w:rsid w:val="00544E8F"/>
    <w:rsid w:val="00546453"/>
    <w:rsid w:val="00547397"/>
    <w:rsid w:val="00550693"/>
    <w:rsid w:val="00551EBD"/>
    <w:rsid w:val="00553335"/>
    <w:rsid w:val="00553443"/>
    <w:rsid w:val="005550C8"/>
    <w:rsid w:val="005560F2"/>
    <w:rsid w:val="0055612F"/>
    <w:rsid w:val="005569D1"/>
    <w:rsid w:val="005572DD"/>
    <w:rsid w:val="00557B88"/>
    <w:rsid w:val="00557FDB"/>
    <w:rsid w:val="00561C06"/>
    <w:rsid w:val="00561D79"/>
    <w:rsid w:val="00563238"/>
    <w:rsid w:val="005656C7"/>
    <w:rsid w:val="00565B91"/>
    <w:rsid w:val="00567796"/>
    <w:rsid w:val="005678CD"/>
    <w:rsid w:val="00567DF3"/>
    <w:rsid w:val="005700E5"/>
    <w:rsid w:val="0057076F"/>
    <w:rsid w:val="005708C6"/>
    <w:rsid w:val="005709BD"/>
    <w:rsid w:val="00570E86"/>
    <w:rsid w:val="005710A9"/>
    <w:rsid w:val="00573D83"/>
    <w:rsid w:val="00573DB4"/>
    <w:rsid w:val="00574B1D"/>
    <w:rsid w:val="00577F45"/>
    <w:rsid w:val="00580D9F"/>
    <w:rsid w:val="00581286"/>
    <w:rsid w:val="005832B0"/>
    <w:rsid w:val="00583EAB"/>
    <w:rsid w:val="005847EC"/>
    <w:rsid w:val="00585DE2"/>
    <w:rsid w:val="00586ACC"/>
    <w:rsid w:val="00587B00"/>
    <w:rsid w:val="005907AD"/>
    <w:rsid w:val="00593D04"/>
    <w:rsid w:val="00593E9D"/>
    <w:rsid w:val="00595720"/>
    <w:rsid w:val="00595E73"/>
    <w:rsid w:val="00596E36"/>
    <w:rsid w:val="005977AE"/>
    <w:rsid w:val="00597859"/>
    <w:rsid w:val="005A13AC"/>
    <w:rsid w:val="005A154B"/>
    <w:rsid w:val="005A20C3"/>
    <w:rsid w:val="005A21BB"/>
    <w:rsid w:val="005A3E24"/>
    <w:rsid w:val="005A3F22"/>
    <w:rsid w:val="005A48E9"/>
    <w:rsid w:val="005A7E12"/>
    <w:rsid w:val="005B0723"/>
    <w:rsid w:val="005B13C3"/>
    <w:rsid w:val="005B241F"/>
    <w:rsid w:val="005B4890"/>
    <w:rsid w:val="005B4F4D"/>
    <w:rsid w:val="005B52DE"/>
    <w:rsid w:val="005B54F2"/>
    <w:rsid w:val="005B5B14"/>
    <w:rsid w:val="005B5F16"/>
    <w:rsid w:val="005B7B05"/>
    <w:rsid w:val="005B7FAE"/>
    <w:rsid w:val="005C031F"/>
    <w:rsid w:val="005C0507"/>
    <w:rsid w:val="005C09FD"/>
    <w:rsid w:val="005C175F"/>
    <w:rsid w:val="005C2299"/>
    <w:rsid w:val="005C38E7"/>
    <w:rsid w:val="005C3A99"/>
    <w:rsid w:val="005C58ED"/>
    <w:rsid w:val="005C653A"/>
    <w:rsid w:val="005C6F15"/>
    <w:rsid w:val="005D1320"/>
    <w:rsid w:val="005D1A82"/>
    <w:rsid w:val="005D1A8D"/>
    <w:rsid w:val="005D2A0F"/>
    <w:rsid w:val="005D2BF7"/>
    <w:rsid w:val="005D2D78"/>
    <w:rsid w:val="005D34A4"/>
    <w:rsid w:val="005D45B7"/>
    <w:rsid w:val="005D4C70"/>
    <w:rsid w:val="005D6D33"/>
    <w:rsid w:val="005D7753"/>
    <w:rsid w:val="005E09A4"/>
    <w:rsid w:val="005E1183"/>
    <w:rsid w:val="005E1C84"/>
    <w:rsid w:val="005E1D30"/>
    <w:rsid w:val="005E2FB9"/>
    <w:rsid w:val="005E39D2"/>
    <w:rsid w:val="005E49C5"/>
    <w:rsid w:val="005E605B"/>
    <w:rsid w:val="005E62B0"/>
    <w:rsid w:val="005E7335"/>
    <w:rsid w:val="005F092B"/>
    <w:rsid w:val="005F0E26"/>
    <w:rsid w:val="005F18C2"/>
    <w:rsid w:val="005F2CD8"/>
    <w:rsid w:val="005F31E7"/>
    <w:rsid w:val="005F4B83"/>
    <w:rsid w:val="005F6600"/>
    <w:rsid w:val="005F67DA"/>
    <w:rsid w:val="0060065B"/>
    <w:rsid w:val="00600B21"/>
    <w:rsid w:val="00601644"/>
    <w:rsid w:val="0060209A"/>
    <w:rsid w:val="00603613"/>
    <w:rsid w:val="00603F8C"/>
    <w:rsid w:val="00604805"/>
    <w:rsid w:val="006048FB"/>
    <w:rsid w:val="00604971"/>
    <w:rsid w:val="006057B7"/>
    <w:rsid w:val="00606CC5"/>
    <w:rsid w:val="006078E8"/>
    <w:rsid w:val="006101B4"/>
    <w:rsid w:val="00610CB3"/>
    <w:rsid w:val="00611C95"/>
    <w:rsid w:val="0061414C"/>
    <w:rsid w:val="00614225"/>
    <w:rsid w:val="00615189"/>
    <w:rsid w:val="006170EF"/>
    <w:rsid w:val="00621976"/>
    <w:rsid w:val="00621B7F"/>
    <w:rsid w:val="00623928"/>
    <w:rsid w:val="00625769"/>
    <w:rsid w:val="00625A97"/>
    <w:rsid w:val="006265D6"/>
    <w:rsid w:val="00626849"/>
    <w:rsid w:val="00627D1E"/>
    <w:rsid w:val="00627FE5"/>
    <w:rsid w:val="006309F1"/>
    <w:rsid w:val="00631508"/>
    <w:rsid w:val="00631ED1"/>
    <w:rsid w:val="0063232C"/>
    <w:rsid w:val="00634F91"/>
    <w:rsid w:val="00636E0A"/>
    <w:rsid w:val="00636F9F"/>
    <w:rsid w:val="00641515"/>
    <w:rsid w:val="00641645"/>
    <w:rsid w:val="00641B8A"/>
    <w:rsid w:val="00642C73"/>
    <w:rsid w:val="00644025"/>
    <w:rsid w:val="00644F76"/>
    <w:rsid w:val="00644FE5"/>
    <w:rsid w:val="0065257D"/>
    <w:rsid w:val="00652774"/>
    <w:rsid w:val="006530D6"/>
    <w:rsid w:val="00653148"/>
    <w:rsid w:val="006534B5"/>
    <w:rsid w:val="00653956"/>
    <w:rsid w:val="006545E6"/>
    <w:rsid w:val="0065568A"/>
    <w:rsid w:val="00655748"/>
    <w:rsid w:val="00655E29"/>
    <w:rsid w:val="006563DD"/>
    <w:rsid w:val="00657F4B"/>
    <w:rsid w:val="006603D5"/>
    <w:rsid w:val="00660EBB"/>
    <w:rsid w:val="006612A8"/>
    <w:rsid w:val="006612C4"/>
    <w:rsid w:val="00663B01"/>
    <w:rsid w:val="00663F76"/>
    <w:rsid w:val="0066403B"/>
    <w:rsid w:val="00664516"/>
    <w:rsid w:val="006658F2"/>
    <w:rsid w:val="00670165"/>
    <w:rsid w:val="00671579"/>
    <w:rsid w:val="00672274"/>
    <w:rsid w:val="006726F1"/>
    <w:rsid w:val="00672B51"/>
    <w:rsid w:val="00672B9E"/>
    <w:rsid w:val="00673440"/>
    <w:rsid w:val="00674181"/>
    <w:rsid w:val="00674328"/>
    <w:rsid w:val="0067528B"/>
    <w:rsid w:val="0067578E"/>
    <w:rsid w:val="0067716B"/>
    <w:rsid w:val="00680F47"/>
    <w:rsid w:val="0068168D"/>
    <w:rsid w:val="00682BED"/>
    <w:rsid w:val="006832F4"/>
    <w:rsid w:val="00684F63"/>
    <w:rsid w:val="00685243"/>
    <w:rsid w:val="0068595F"/>
    <w:rsid w:val="00685BC6"/>
    <w:rsid w:val="00686547"/>
    <w:rsid w:val="00686BB6"/>
    <w:rsid w:val="006901E3"/>
    <w:rsid w:val="006905B2"/>
    <w:rsid w:val="00691118"/>
    <w:rsid w:val="00693286"/>
    <w:rsid w:val="006937F8"/>
    <w:rsid w:val="00694460"/>
    <w:rsid w:val="00694A22"/>
    <w:rsid w:val="00694FBB"/>
    <w:rsid w:val="00695A4E"/>
    <w:rsid w:val="006972AB"/>
    <w:rsid w:val="00697915"/>
    <w:rsid w:val="006A0480"/>
    <w:rsid w:val="006A0E2F"/>
    <w:rsid w:val="006A0EB6"/>
    <w:rsid w:val="006A2B4D"/>
    <w:rsid w:val="006A49C9"/>
    <w:rsid w:val="006A574B"/>
    <w:rsid w:val="006A64CA"/>
    <w:rsid w:val="006A6BAD"/>
    <w:rsid w:val="006A78A3"/>
    <w:rsid w:val="006B0B35"/>
    <w:rsid w:val="006B29ED"/>
    <w:rsid w:val="006B2A7E"/>
    <w:rsid w:val="006B4A71"/>
    <w:rsid w:val="006B53E8"/>
    <w:rsid w:val="006B5F09"/>
    <w:rsid w:val="006B6BC5"/>
    <w:rsid w:val="006B747D"/>
    <w:rsid w:val="006B74DB"/>
    <w:rsid w:val="006C1722"/>
    <w:rsid w:val="006C2AC2"/>
    <w:rsid w:val="006C2EED"/>
    <w:rsid w:val="006C3804"/>
    <w:rsid w:val="006C3B9E"/>
    <w:rsid w:val="006C3BCC"/>
    <w:rsid w:val="006C42C3"/>
    <w:rsid w:val="006C43DB"/>
    <w:rsid w:val="006C7143"/>
    <w:rsid w:val="006C72BD"/>
    <w:rsid w:val="006C7C15"/>
    <w:rsid w:val="006D1041"/>
    <w:rsid w:val="006D187E"/>
    <w:rsid w:val="006D1CD4"/>
    <w:rsid w:val="006D2113"/>
    <w:rsid w:val="006D2681"/>
    <w:rsid w:val="006D287E"/>
    <w:rsid w:val="006D2C1F"/>
    <w:rsid w:val="006D2F3E"/>
    <w:rsid w:val="006D3722"/>
    <w:rsid w:val="006D4432"/>
    <w:rsid w:val="006D45F4"/>
    <w:rsid w:val="006D5032"/>
    <w:rsid w:val="006D523E"/>
    <w:rsid w:val="006D5AAD"/>
    <w:rsid w:val="006D62F4"/>
    <w:rsid w:val="006D674F"/>
    <w:rsid w:val="006D67A0"/>
    <w:rsid w:val="006D732A"/>
    <w:rsid w:val="006E061E"/>
    <w:rsid w:val="006E11F8"/>
    <w:rsid w:val="006E1C41"/>
    <w:rsid w:val="006E1DB1"/>
    <w:rsid w:val="006E2954"/>
    <w:rsid w:val="006E3296"/>
    <w:rsid w:val="006E3DD6"/>
    <w:rsid w:val="006E3FF2"/>
    <w:rsid w:val="006E699D"/>
    <w:rsid w:val="006F10BE"/>
    <w:rsid w:val="006F1A28"/>
    <w:rsid w:val="006F1B8B"/>
    <w:rsid w:val="006F234D"/>
    <w:rsid w:val="006F276A"/>
    <w:rsid w:val="006F2EF3"/>
    <w:rsid w:val="006F346C"/>
    <w:rsid w:val="006F3DB0"/>
    <w:rsid w:val="006F4708"/>
    <w:rsid w:val="006F7700"/>
    <w:rsid w:val="006F782A"/>
    <w:rsid w:val="00700173"/>
    <w:rsid w:val="007005C6"/>
    <w:rsid w:val="00700F13"/>
    <w:rsid w:val="007012DF"/>
    <w:rsid w:val="00701B6E"/>
    <w:rsid w:val="00704DAD"/>
    <w:rsid w:val="00705159"/>
    <w:rsid w:val="0070521D"/>
    <w:rsid w:val="00705477"/>
    <w:rsid w:val="00706BB7"/>
    <w:rsid w:val="0070767C"/>
    <w:rsid w:val="00707D15"/>
    <w:rsid w:val="00707D7F"/>
    <w:rsid w:val="007107A9"/>
    <w:rsid w:val="00710D67"/>
    <w:rsid w:val="00711168"/>
    <w:rsid w:val="00711DD5"/>
    <w:rsid w:val="0071338D"/>
    <w:rsid w:val="00713D07"/>
    <w:rsid w:val="00713ECB"/>
    <w:rsid w:val="00714159"/>
    <w:rsid w:val="0071467D"/>
    <w:rsid w:val="00714830"/>
    <w:rsid w:val="00714959"/>
    <w:rsid w:val="00714CC6"/>
    <w:rsid w:val="00715B79"/>
    <w:rsid w:val="00715CF1"/>
    <w:rsid w:val="007203BB"/>
    <w:rsid w:val="00721549"/>
    <w:rsid w:val="0072168F"/>
    <w:rsid w:val="00721F46"/>
    <w:rsid w:val="00722DF0"/>
    <w:rsid w:val="00723E84"/>
    <w:rsid w:val="00723F6F"/>
    <w:rsid w:val="007256DC"/>
    <w:rsid w:val="0072745F"/>
    <w:rsid w:val="00730858"/>
    <w:rsid w:val="00730A67"/>
    <w:rsid w:val="007311F6"/>
    <w:rsid w:val="00731978"/>
    <w:rsid w:val="00731F92"/>
    <w:rsid w:val="00732D8E"/>
    <w:rsid w:val="007337BB"/>
    <w:rsid w:val="00735548"/>
    <w:rsid w:val="0073570C"/>
    <w:rsid w:val="007375A4"/>
    <w:rsid w:val="007378EB"/>
    <w:rsid w:val="00741BD0"/>
    <w:rsid w:val="00743482"/>
    <w:rsid w:val="00743B1E"/>
    <w:rsid w:val="00743CA9"/>
    <w:rsid w:val="00745179"/>
    <w:rsid w:val="007453A5"/>
    <w:rsid w:val="00747201"/>
    <w:rsid w:val="00750F09"/>
    <w:rsid w:val="00751189"/>
    <w:rsid w:val="00751980"/>
    <w:rsid w:val="0075256B"/>
    <w:rsid w:val="00753065"/>
    <w:rsid w:val="00755321"/>
    <w:rsid w:val="007558D6"/>
    <w:rsid w:val="0075598C"/>
    <w:rsid w:val="00756977"/>
    <w:rsid w:val="007570A7"/>
    <w:rsid w:val="00757252"/>
    <w:rsid w:val="00757904"/>
    <w:rsid w:val="00757961"/>
    <w:rsid w:val="00760E60"/>
    <w:rsid w:val="00760F1A"/>
    <w:rsid w:val="007611B8"/>
    <w:rsid w:val="007614F5"/>
    <w:rsid w:val="0076160F"/>
    <w:rsid w:val="00761800"/>
    <w:rsid w:val="00763D95"/>
    <w:rsid w:val="007650C3"/>
    <w:rsid w:val="00765160"/>
    <w:rsid w:val="007653CA"/>
    <w:rsid w:val="00765F05"/>
    <w:rsid w:val="00766501"/>
    <w:rsid w:val="0076671F"/>
    <w:rsid w:val="00766F8E"/>
    <w:rsid w:val="00766FA9"/>
    <w:rsid w:val="007674BF"/>
    <w:rsid w:val="007675B6"/>
    <w:rsid w:val="00767AEC"/>
    <w:rsid w:val="00767D16"/>
    <w:rsid w:val="00770DBF"/>
    <w:rsid w:val="00770E0B"/>
    <w:rsid w:val="007717CA"/>
    <w:rsid w:val="00772804"/>
    <w:rsid w:val="00774C6F"/>
    <w:rsid w:val="00775D08"/>
    <w:rsid w:val="0077606F"/>
    <w:rsid w:val="00776E46"/>
    <w:rsid w:val="00777A48"/>
    <w:rsid w:val="0078045F"/>
    <w:rsid w:val="0078078B"/>
    <w:rsid w:val="00780D98"/>
    <w:rsid w:val="00780FB3"/>
    <w:rsid w:val="0078184F"/>
    <w:rsid w:val="00781A7E"/>
    <w:rsid w:val="00782561"/>
    <w:rsid w:val="0078352A"/>
    <w:rsid w:val="007839A5"/>
    <w:rsid w:val="00783A62"/>
    <w:rsid w:val="00783CF5"/>
    <w:rsid w:val="00784D90"/>
    <w:rsid w:val="00784F70"/>
    <w:rsid w:val="00785A64"/>
    <w:rsid w:val="00785D19"/>
    <w:rsid w:val="00786035"/>
    <w:rsid w:val="0078604A"/>
    <w:rsid w:val="00786368"/>
    <w:rsid w:val="00786AA3"/>
    <w:rsid w:val="00786F5C"/>
    <w:rsid w:val="007913B4"/>
    <w:rsid w:val="007916C0"/>
    <w:rsid w:val="00791C6A"/>
    <w:rsid w:val="00791ECD"/>
    <w:rsid w:val="007927F0"/>
    <w:rsid w:val="00792CBD"/>
    <w:rsid w:val="00794707"/>
    <w:rsid w:val="00794FF8"/>
    <w:rsid w:val="00795F42"/>
    <w:rsid w:val="00796F9F"/>
    <w:rsid w:val="00797415"/>
    <w:rsid w:val="007A05C0"/>
    <w:rsid w:val="007A065A"/>
    <w:rsid w:val="007A0AD1"/>
    <w:rsid w:val="007A1751"/>
    <w:rsid w:val="007A1B8B"/>
    <w:rsid w:val="007A1D39"/>
    <w:rsid w:val="007A1E83"/>
    <w:rsid w:val="007A24FF"/>
    <w:rsid w:val="007A28CB"/>
    <w:rsid w:val="007A3B02"/>
    <w:rsid w:val="007A407E"/>
    <w:rsid w:val="007A48EA"/>
    <w:rsid w:val="007A4BBA"/>
    <w:rsid w:val="007A4C9B"/>
    <w:rsid w:val="007A546B"/>
    <w:rsid w:val="007A61FC"/>
    <w:rsid w:val="007A6406"/>
    <w:rsid w:val="007A6939"/>
    <w:rsid w:val="007A6A3E"/>
    <w:rsid w:val="007A6D3F"/>
    <w:rsid w:val="007A7730"/>
    <w:rsid w:val="007A7A92"/>
    <w:rsid w:val="007A7C77"/>
    <w:rsid w:val="007B1478"/>
    <w:rsid w:val="007B1ED0"/>
    <w:rsid w:val="007B237D"/>
    <w:rsid w:val="007B4729"/>
    <w:rsid w:val="007B4968"/>
    <w:rsid w:val="007B6258"/>
    <w:rsid w:val="007B65B4"/>
    <w:rsid w:val="007B6CB4"/>
    <w:rsid w:val="007B6EB8"/>
    <w:rsid w:val="007B78AC"/>
    <w:rsid w:val="007C0A28"/>
    <w:rsid w:val="007C1FED"/>
    <w:rsid w:val="007C2092"/>
    <w:rsid w:val="007C2EC4"/>
    <w:rsid w:val="007C3198"/>
    <w:rsid w:val="007C396D"/>
    <w:rsid w:val="007C3BA4"/>
    <w:rsid w:val="007C424E"/>
    <w:rsid w:val="007C4BB0"/>
    <w:rsid w:val="007C6781"/>
    <w:rsid w:val="007C6BF2"/>
    <w:rsid w:val="007C7654"/>
    <w:rsid w:val="007C7718"/>
    <w:rsid w:val="007C7E85"/>
    <w:rsid w:val="007D0BBE"/>
    <w:rsid w:val="007D0C82"/>
    <w:rsid w:val="007D1989"/>
    <w:rsid w:val="007D22A3"/>
    <w:rsid w:val="007D2DA3"/>
    <w:rsid w:val="007D4179"/>
    <w:rsid w:val="007D51C5"/>
    <w:rsid w:val="007D64E0"/>
    <w:rsid w:val="007D7904"/>
    <w:rsid w:val="007E18F4"/>
    <w:rsid w:val="007E1EBA"/>
    <w:rsid w:val="007E2CED"/>
    <w:rsid w:val="007E3AA9"/>
    <w:rsid w:val="007E4208"/>
    <w:rsid w:val="007E60D9"/>
    <w:rsid w:val="007F035A"/>
    <w:rsid w:val="007F1120"/>
    <w:rsid w:val="007F13DE"/>
    <w:rsid w:val="007F3A36"/>
    <w:rsid w:val="007F5D08"/>
    <w:rsid w:val="007F64A5"/>
    <w:rsid w:val="008004CC"/>
    <w:rsid w:val="008005FD"/>
    <w:rsid w:val="008009DD"/>
    <w:rsid w:val="0080195C"/>
    <w:rsid w:val="00802281"/>
    <w:rsid w:val="0080245B"/>
    <w:rsid w:val="00802B52"/>
    <w:rsid w:val="00802BB1"/>
    <w:rsid w:val="008033D2"/>
    <w:rsid w:val="00804E19"/>
    <w:rsid w:val="00805194"/>
    <w:rsid w:val="00806A65"/>
    <w:rsid w:val="00807F04"/>
    <w:rsid w:val="00810B73"/>
    <w:rsid w:val="00810E1B"/>
    <w:rsid w:val="008111EC"/>
    <w:rsid w:val="00811739"/>
    <w:rsid w:val="008118D9"/>
    <w:rsid w:val="0081372C"/>
    <w:rsid w:val="00813BB8"/>
    <w:rsid w:val="008141F4"/>
    <w:rsid w:val="00814497"/>
    <w:rsid w:val="00814B08"/>
    <w:rsid w:val="008155A3"/>
    <w:rsid w:val="00816896"/>
    <w:rsid w:val="008172A3"/>
    <w:rsid w:val="00817BA1"/>
    <w:rsid w:val="00817F26"/>
    <w:rsid w:val="0082066D"/>
    <w:rsid w:val="008210EC"/>
    <w:rsid w:val="00821945"/>
    <w:rsid w:val="00822C03"/>
    <w:rsid w:val="00823209"/>
    <w:rsid w:val="0082338A"/>
    <w:rsid w:val="008245EB"/>
    <w:rsid w:val="008247E9"/>
    <w:rsid w:val="0082489A"/>
    <w:rsid w:val="008261AD"/>
    <w:rsid w:val="00826991"/>
    <w:rsid w:val="00827024"/>
    <w:rsid w:val="008278B7"/>
    <w:rsid w:val="00830C33"/>
    <w:rsid w:val="00830DE3"/>
    <w:rsid w:val="00830E79"/>
    <w:rsid w:val="008319BE"/>
    <w:rsid w:val="008355CB"/>
    <w:rsid w:val="008357D3"/>
    <w:rsid w:val="00840D15"/>
    <w:rsid w:val="0084109C"/>
    <w:rsid w:val="00841690"/>
    <w:rsid w:val="00841E05"/>
    <w:rsid w:val="00842432"/>
    <w:rsid w:val="0084283C"/>
    <w:rsid w:val="008430E5"/>
    <w:rsid w:val="00843B7F"/>
    <w:rsid w:val="008443A2"/>
    <w:rsid w:val="00845E18"/>
    <w:rsid w:val="008469BF"/>
    <w:rsid w:val="00846C41"/>
    <w:rsid w:val="00847FEB"/>
    <w:rsid w:val="00850626"/>
    <w:rsid w:val="0085064A"/>
    <w:rsid w:val="00850716"/>
    <w:rsid w:val="008509F1"/>
    <w:rsid w:val="00850D34"/>
    <w:rsid w:val="00851DE4"/>
    <w:rsid w:val="00852F63"/>
    <w:rsid w:val="00855C2B"/>
    <w:rsid w:val="008568D7"/>
    <w:rsid w:val="00857A9D"/>
    <w:rsid w:val="00860379"/>
    <w:rsid w:val="0086099A"/>
    <w:rsid w:val="00861E36"/>
    <w:rsid w:val="0086243D"/>
    <w:rsid w:val="008632AD"/>
    <w:rsid w:val="0086397A"/>
    <w:rsid w:val="00863AA2"/>
    <w:rsid w:val="008640F1"/>
    <w:rsid w:val="00864150"/>
    <w:rsid w:val="00864C85"/>
    <w:rsid w:val="00865DA6"/>
    <w:rsid w:val="00865EDD"/>
    <w:rsid w:val="00867A8D"/>
    <w:rsid w:val="00867DFF"/>
    <w:rsid w:val="00871524"/>
    <w:rsid w:val="00872065"/>
    <w:rsid w:val="00873F9A"/>
    <w:rsid w:val="008741FF"/>
    <w:rsid w:val="008744EB"/>
    <w:rsid w:val="0087620E"/>
    <w:rsid w:val="00876F30"/>
    <w:rsid w:val="00877179"/>
    <w:rsid w:val="00877EA5"/>
    <w:rsid w:val="008801C3"/>
    <w:rsid w:val="0088191B"/>
    <w:rsid w:val="00882118"/>
    <w:rsid w:val="00882680"/>
    <w:rsid w:val="00882FF4"/>
    <w:rsid w:val="0088398E"/>
    <w:rsid w:val="00883B1D"/>
    <w:rsid w:val="00884840"/>
    <w:rsid w:val="0088490D"/>
    <w:rsid w:val="00884C38"/>
    <w:rsid w:val="008858DA"/>
    <w:rsid w:val="0088678E"/>
    <w:rsid w:val="00886886"/>
    <w:rsid w:val="0088694C"/>
    <w:rsid w:val="00886F0A"/>
    <w:rsid w:val="00886F54"/>
    <w:rsid w:val="00887FAD"/>
    <w:rsid w:val="00891F5E"/>
    <w:rsid w:val="008925E7"/>
    <w:rsid w:val="00892934"/>
    <w:rsid w:val="00892FA2"/>
    <w:rsid w:val="0089320E"/>
    <w:rsid w:val="0089386D"/>
    <w:rsid w:val="00895341"/>
    <w:rsid w:val="008978A1"/>
    <w:rsid w:val="00897AD2"/>
    <w:rsid w:val="00897BFF"/>
    <w:rsid w:val="008A02A1"/>
    <w:rsid w:val="008A07F0"/>
    <w:rsid w:val="008A0A6C"/>
    <w:rsid w:val="008A2963"/>
    <w:rsid w:val="008A3BD5"/>
    <w:rsid w:val="008A4229"/>
    <w:rsid w:val="008A49B8"/>
    <w:rsid w:val="008A54BF"/>
    <w:rsid w:val="008A73B3"/>
    <w:rsid w:val="008A75C9"/>
    <w:rsid w:val="008A7DD0"/>
    <w:rsid w:val="008B0D01"/>
    <w:rsid w:val="008B2496"/>
    <w:rsid w:val="008B3202"/>
    <w:rsid w:val="008B3558"/>
    <w:rsid w:val="008B5179"/>
    <w:rsid w:val="008B5DE9"/>
    <w:rsid w:val="008B64EE"/>
    <w:rsid w:val="008B6E69"/>
    <w:rsid w:val="008B6F0F"/>
    <w:rsid w:val="008C1329"/>
    <w:rsid w:val="008C1692"/>
    <w:rsid w:val="008C1AA1"/>
    <w:rsid w:val="008C1B87"/>
    <w:rsid w:val="008C1F1C"/>
    <w:rsid w:val="008C275C"/>
    <w:rsid w:val="008C2DFB"/>
    <w:rsid w:val="008C3FF3"/>
    <w:rsid w:val="008C4322"/>
    <w:rsid w:val="008C52EE"/>
    <w:rsid w:val="008C59F4"/>
    <w:rsid w:val="008C5D26"/>
    <w:rsid w:val="008C61C8"/>
    <w:rsid w:val="008C6AB5"/>
    <w:rsid w:val="008C75F4"/>
    <w:rsid w:val="008C784A"/>
    <w:rsid w:val="008C7C68"/>
    <w:rsid w:val="008C7E44"/>
    <w:rsid w:val="008D0644"/>
    <w:rsid w:val="008D06D8"/>
    <w:rsid w:val="008D17F8"/>
    <w:rsid w:val="008D1BAC"/>
    <w:rsid w:val="008D26AC"/>
    <w:rsid w:val="008D31ED"/>
    <w:rsid w:val="008D365E"/>
    <w:rsid w:val="008D3CE7"/>
    <w:rsid w:val="008D57D2"/>
    <w:rsid w:val="008D5A3D"/>
    <w:rsid w:val="008D6A33"/>
    <w:rsid w:val="008D6ED2"/>
    <w:rsid w:val="008D7259"/>
    <w:rsid w:val="008E1CF7"/>
    <w:rsid w:val="008E2719"/>
    <w:rsid w:val="008E3812"/>
    <w:rsid w:val="008E5299"/>
    <w:rsid w:val="008E72BD"/>
    <w:rsid w:val="008E7E01"/>
    <w:rsid w:val="008F0161"/>
    <w:rsid w:val="008F114F"/>
    <w:rsid w:val="008F2EDC"/>
    <w:rsid w:val="008F3D53"/>
    <w:rsid w:val="008F4AF4"/>
    <w:rsid w:val="008F53DC"/>
    <w:rsid w:val="008F540B"/>
    <w:rsid w:val="008F5BED"/>
    <w:rsid w:val="008F6ABD"/>
    <w:rsid w:val="00900230"/>
    <w:rsid w:val="009002BB"/>
    <w:rsid w:val="00901120"/>
    <w:rsid w:val="00901403"/>
    <w:rsid w:val="00902547"/>
    <w:rsid w:val="00902C89"/>
    <w:rsid w:val="0090530E"/>
    <w:rsid w:val="00905B08"/>
    <w:rsid w:val="00905B77"/>
    <w:rsid w:val="009075C0"/>
    <w:rsid w:val="00907A0B"/>
    <w:rsid w:val="00910B5E"/>
    <w:rsid w:val="00910ECF"/>
    <w:rsid w:val="00913540"/>
    <w:rsid w:val="0091371F"/>
    <w:rsid w:val="0091438A"/>
    <w:rsid w:val="009150E1"/>
    <w:rsid w:val="009151D2"/>
    <w:rsid w:val="009159B4"/>
    <w:rsid w:val="00915A85"/>
    <w:rsid w:val="00915AD5"/>
    <w:rsid w:val="009166E9"/>
    <w:rsid w:val="00917557"/>
    <w:rsid w:val="0091773D"/>
    <w:rsid w:val="0091780C"/>
    <w:rsid w:val="009178F1"/>
    <w:rsid w:val="00917C1F"/>
    <w:rsid w:val="00917E3B"/>
    <w:rsid w:val="009203B4"/>
    <w:rsid w:val="00921817"/>
    <w:rsid w:val="00921B8B"/>
    <w:rsid w:val="00921C89"/>
    <w:rsid w:val="00922BC3"/>
    <w:rsid w:val="00924795"/>
    <w:rsid w:val="00924A9D"/>
    <w:rsid w:val="00925E1E"/>
    <w:rsid w:val="00927078"/>
    <w:rsid w:val="009277E2"/>
    <w:rsid w:val="00930EE3"/>
    <w:rsid w:val="0093166E"/>
    <w:rsid w:val="00932096"/>
    <w:rsid w:val="0093239E"/>
    <w:rsid w:val="00932423"/>
    <w:rsid w:val="00932D48"/>
    <w:rsid w:val="009332C0"/>
    <w:rsid w:val="0093388A"/>
    <w:rsid w:val="00934869"/>
    <w:rsid w:val="009362FC"/>
    <w:rsid w:val="009370B8"/>
    <w:rsid w:val="00940664"/>
    <w:rsid w:val="009408C9"/>
    <w:rsid w:val="009419F9"/>
    <w:rsid w:val="00942622"/>
    <w:rsid w:val="00943060"/>
    <w:rsid w:val="00943480"/>
    <w:rsid w:val="00945046"/>
    <w:rsid w:val="00945589"/>
    <w:rsid w:val="009462AB"/>
    <w:rsid w:val="009464B1"/>
    <w:rsid w:val="009466E3"/>
    <w:rsid w:val="009468E1"/>
    <w:rsid w:val="009474FC"/>
    <w:rsid w:val="009478E1"/>
    <w:rsid w:val="009478F1"/>
    <w:rsid w:val="009506A3"/>
    <w:rsid w:val="00951954"/>
    <w:rsid w:val="009538A8"/>
    <w:rsid w:val="00953EA4"/>
    <w:rsid w:val="00954078"/>
    <w:rsid w:val="0095528C"/>
    <w:rsid w:val="00955569"/>
    <w:rsid w:val="00955B7F"/>
    <w:rsid w:val="00956275"/>
    <w:rsid w:val="00956F51"/>
    <w:rsid w:val="0095712A"/>
    <w:rsid w:val="00960259"/>
    <w:rsid w:val="0096196C"/>
    <w:rsid w:val="00962647"/>
    <w:rsid w:val="009628CB"/>
    <w:rsid w:val="009630B4"/>
    <w:rsid w:val="00963202"/>
    <w:rsid w:val="00963CAF"/>
    <w:rsid w:val="00965C32"/>
    <w:rsid w:val="009660B0"/>
    <w:rsid w:val="00966D12"/>
    <w:rsid w:val="00966F90"/>
    <w:rsid w:val="009679AD"/>
    <w:rsid w:val="00967A6D"/>
    <w:rsid w:val="00967BFC"/>
    <w:rsid w:val="00967CC2"/>
    <w:rsid w:val="00970BEA"/>
    <w:rsid w:val="00971A6C"/>
    <w:rsid w:val="00972FCB"/>
    <w:rsid w:val="0097380E"/>
    <w:rsid w:val="00973AC4"/>
    <w:rsid w:val="00973B02"/>
    <w:rsid w:val="00974FDF"/>
    <w:rsid w:val="009754F7"/>
    <w:rsid w:val="00976789"/>
    <w:rsid w:val="009768A5"/>
    <w:rsid w:val="00976E7D"/>
    <w:rsid w:val="00977A9E"/>
    <w:rsid w:val="00977D21"/>
    <w:rsid w:val="00977F5C"/>
    <w:rsid w:val="00977FB3"/>
    <w:rsid w:val="009806DD"/>
    <w:rsid w:val="00982932"/>
    <w:rsid w:val="00982B85"/>
    <w:rsid w:val="00982DA4"/>
    <w:rsid w:val="00986B5A"/>
    <w:rsid w:val="00986C53"/>
    <w:rsid w:val="009870AB"/>
    <w:rsid w:val="0098778F"/>
    <w:rsid w:val="00987A5D"/>
    <w:rsid w:val="009908BD"/>
    <w:rsid w:val="009912E9"/>
    <w:rsid w:val="00993E14"/>
    <w:rsid w:val="009959B0"/>
    <w:rsid w:val="00995F5A"/>
    <w:rsid w:val="00996986"/>
    <w:rsid w:val="00997338"/>
    <w:rsid w:val="009A25BA"/>
    <w:rsid w:val="009A398E"/>
    <w:rsid w:val="009A4257"/>
    <w:rsid w:val="009A4FD4"/>
    <w:rsid w:val="009A5295"/>
    <w:rsid w:val="009A5661"/>
    <w:rsid w:val="009A5F22"/>
    <w:rsid w:val="009A6952"/>
    <w:rsid w:val="009A7228"/>
    <w:rsid w:val="009B1DAA"/>
    <w:rsid w:val="009B1DC1"/>
    <w:rsid w:val="009B1F41"/>
    <w:rsid w:val="009B1FAE"/>
    <w:rsid w:val="009B31CE"/>
    <w:rsid w:val="009B3559"/>
    <w:rsid w:val="009B36C4"/>
    <w:rsid w:val="009B4A9C"/>
    <w:rsid w:val="009B4DA6"/>
    <w:rsid w:val="009B66BA"/>
    <w:rsid w:val="009B6CFF"/>
    <w:rsid w:val="009B7209"/>
    <w:rsid w:val="009B7671"/>
    <w:rsid w:val="009C3675"/>
    <w:rsid w:val="009C3992"/>
    <w:rsid w:val="009C472C"/>
    <w:rsid w:val="009C5832"/>
    <w:rsid w:val="009C5E6E"/>
    <w:rsid w:val="009C6166"/>
    <w:rsid w:val="009C64A4"/>
    <w:rsid w:val="009C6A3F"/>
    <w:rsid w:val="009C7E6C"/>
    <w:rsid w:val="009D017C"/>
    <w:rsid w:val="009D0287"/>
    <w:rsid w:val="009D0A86"/>
    <w:rsid w:val="009D16F4"/>
    <w:rsid w:val="009D1E71"/>
    <w:rsid w:val="009D24E8"/>
    <w:rsid w:val="009D2FEF"/>
    <w:rsid w:val="009D31C8"/>
    <w:rsid w:val="009D4525"/>
    <w:rsid w:val="009D4795"/>
    <w:rsid w:val="009D4F08"/>
    <w:rsid w:val="009D5A87"/>
    <w:rsid w:val="009D6CB5"/>
    <w:rsid w:val="009D71D3"/>
    <w:rsid w:val="009D7917"/>
    <w:rsid w:val="009E080C"/>
    <w:rsid w:val="009E12A8"/>
    <w:rsid w:val="009E19A4"/>
    <w:rsid w:val="009E1B5D"/>
    <w:rsid w:val="009E22AF"/>
    <w:rsid w:val="009E23AF"/>
    <w:rsid w:val="009E261B"/>
    <w:rsid w:val="009E4C4D"/>
    <w:rsid w:val="009E4EFE"/>
    <w:rsid w:val="009E5399"/>
    <w:rsid w:val="009E5482"/>
    <w:rsid w:val="009E60B4"/>
    <w:rsid w:val="009E7412"/>
    <w:rsid w:val="009E7488"/>
    <w:rsid w:val="009F052F"/>
    <w:rsid w:val="009F0D15"/>
    <w:rsid w:val="009F1067"/>
    <w:rsid w:val="009F2952"/>
    <w:rsid w:val="009F3957"/>
    <w:rsid w:val="009F3D3D"/>
    <w:rsid w:val="009F4879"/>
    <w:rsid w:val="009F4C94"/>
    <w:rsid w:val="009F4FDA"/>
    <w:rsid w:val="009F5CE2"/>
    <w:rsid w:val="009F5D69"/>
    <w:rsid w:val="009F5D8A"/>
    <w:rsid w:val="009F672B"/>
    <w:rsid w:val="00A00A0B"/>
    <w:rsid w:val="00A00F01"/>
    <w:rsid w:val="00A0188F"/>
    <w:rsid w:val="00A01F3C"/>
    <w:rsid w:val="00A02052"/>
    <w:rsid w:val="00A02652"/>
    <w:rsid w:val="00A02DC6"/>
    <w:rsid w:val="00A02DE3"/>
    <w:rsid w:val="00A0315A"/>
    <w:rsid w:val="00A04AC4"/>
    <w:rsid w:val="00A0610B"/>
    <w:rsid w:val="00A0665A"/>
    <w:rsid w:val="00A06687"/>
    <w:rsid w:val="00A07B79"/>
    <w:rsid w:val="00A1045B"/>
    <w:rsid w:val="00A108C9"/>
    <w:rsid w:val="00A11A82"/>
    <w:rsid w:val="00A11E20"/>
    <w:rsid w:val="00A125F9"/>
    <w:rsid w:val="00A13893"/>
    <w:rsid w:val="00A13E4B"/>
    <w:rsid w:val="00A14026"/>
    <w:rsid w:val="00A14413"/>
    <w:rsid w:val="00A14A61"/>
    <w:rsid w:val="00A152A8"/>
    <w:rsid w:val="00A17130"/>
    <w:rsid w:val="00A205BE"/>
    <w:rsid w:val="00A20888"/>
    <w:rsid w:val="00A21613"/>
    <w:rsid w:val="00A21D2D"/>
    <w:rsid w:val="00A235E8"/>
    <w:rsid w:val="00A23C69"/>
    <w:rsid w:val="00A240C2"/>
    <w:rsid w:val="00A24803"/>
    <w:rsid w:val="00A25676"/>
    <w:rsid w:val="00A257B3"/>
    <w:rsid w:val="00A27687"/>
    <w:rsid w:val="00A27E5D"/>
    <w:rsid w:val="00A27EE8"/>
    <w:rsid w:val="00A27F01"/>
    <w:rsid w:val="00A27FDB"/>
    <w:rsid w:val="00A31840"/>
    <w:rsid w:val="00A31A28"/>
    <w:rsid w:val="00A31AE4"/>
    <w:rsid w:val="00A31C42"/>
    <w:rsid w:val="00A33A11"/>
    <w:rsid w:val="00A343BD"/>
    <w:rsid w:val="00A346F3"/>
    <w:rsid w:val="00A35B0E"/>
    <w:rsid w:val="00A35B18"/>
    <w:rsid w:val="00A35FB9"/>
    <w:rsid w:val="00A369E2"/>
    <w:rsid w:val="00A375E5"/>
    <w:rsid w:val="00A40208"/>
    <w:rsid w:val="00A4091B"/>
    <w:rsid w:val="00A409C3"/>
    <w:rsid w:val="00A40BE4"/>
    <w:rsid w:val="00A4149A"/>
    <w:rsid w:val="00A415A4"/>
    <w:rsid w:val="00A41B62"/>
    <w:rsid w:val="00A426DA"/>
    <w:rsid w:val="00A42F1C"/>
    <w:rsid w:val="00A431B5"/>
    <w:rsid w:val="00A444A7"/>
    <w:rsid w:val="00A454E7"/>
    <w:rsid w:val="00A46CEB"/>
    <w:rsid w:val="00A46D8E"/>
    <w:rsid w:val="00A510E3"/>
    <w:rsid w:val="00A51B89"/>
    <w:rsid w:val="00A520DF"/>
    <w:rsid w:val="00A5277A"/>
    <w:rsid w:val="00A55878"/>
    <w:rsid w:val="00A56A93"/>
    <w:rsid w:val="00A6172E"/>
    <w:rsid w:val="00A625FB"/>
    <w:rsid w:val="00A6264E"/>
    <w:rsid w:val="00A635D7"/>
    <w:rsid w:val="00A6364A"/>
    <w:rsid w:val="00A65ED9"/>
    <w:rsid w:val="00A703E6"/>
    <w:rsid w:val="00A70E83"/>
    <w:rsid w:val="00A714CD"/>
    <w:rsid w:val="00A725D2"/>
    <w:rsid w:val="00A7475E"/>
    <w:rsid w:val="00A74831"/>
    <w:rsid w:val="00A74A37"/>
    <w:rsid w:val="00A75C56"/>
    <w:rsid w:val="00A75D88"/>
    <w:rsid w:val="00A76268"/>
    <w:rsid w:val="00A77008"/>
    <w:rsid w:val="00A81389"/>
    <w:rsid w:val="00A81CCC"/>
    <w:rsid w:val="00A81F00"/>
    <w:rsid w:val="00A82583"/>
    <w:rsid w:val="00A83B38"/>
    <w:rsid w:val="00A8539E"/>
    <w:rsid w:val="00A87053"/>
    <w:rsid w:val="00A87E99"/>
    <w:rsid w:val="00A90354"/>
    <w:rsid w:val="00A91218"/>
    <w:rsid w:val="00A91D88"/>
    <w:rsid w:val="00A93230"/>
    <w:rsid w:val="00A961EA"/>
    <w:rsid w:val="00A9749C"/>
    <w:rsid w:val="00A977BD"/>
    <w:rsid w:val="00A97D5D"/>
    <w:rsid w:val="00AA2132"/>
    <w:rsid w:val="00AA448F"/>
    <w:rsid w:val="00AA478F"/>
    <w:rsid w:val="00AA5DBD"/>
    <w:rsid w:val="00AA62A0"/>
    <w:rsid w:val="00AA6AA2"/>
    <w:rsid w:val="00AA71FE"/>
    <w:rsid w:val="00AA7A71"/>
    <w:rsid w:val="00AA7C05"/>
    <w:rsid w:val="00AB176E"/>
    <w:rsid w:val="00AB1A05"/>
    <w:rsid w:val="00AB303F"/>
    <w:rsid w:val="00AB35E4"/>
    <w:rsid w:val="00AB41FF"/>
    <w:rsid w:val="00AB4A21"/>
    <w:rsid w:val="00AB672A"/>
    <w:rsid w:val="00AC1379"/>
    <w:rsid w:val="00AC266F"/>
    <w:rsid w:val="00AC42A4"/>
    <w:rsid w:val="00AC44D3"/>
    <w:rsid w:val="00AC4E45"/>
    <w:rsid w:val="00AC6249"/>
    <w:rsid w:val="00AC7512"/>
    <w:rsid w:val="00AD0069"/>
    <w:rsid w:val="00AD0A3A"/>
    <w:rsid w:val="00AD0B6A"/>
    <w:rsid w:val="00AD1292"/>
    <w:rsid w:val="00AD1936"/>
    <w:rsid w:val="00AD1E4C"/>
    <w:rsid w:val="00AD33D8"/>
    <w:rsid w:val="00AD3507"/>
    <w:rsid w:val="00AD389D"/>
    <w:rsid w:val="00AD5288"/>
    <w:rsid w:val="00AD5BAF"/>
    <w:rsid w:val="00AD5C48"/>
    <w:rsid w:val="00AD7B8C"/>
    <w:rsid w:val="00AD7DFA"/>
    <w:rsid w:val="00AE1DFB"/>
    <w:rsid w:val="00AE2275"/>
    <w:rsid w:val="00AE2F31"/>
    <w:rsid w:val="00AE3E48"/>
    <w:rsid w:val="00AE4300"/>
    <w:rsid w:val="00AE4EE5"/>
    <w:rsid w:val="00AE526B"/>
    <w:rsid w:val="00AE5AC9"/>
    <w:rsid w:val="00AE732E"/>
    <w:rsid w:val="00AE7499"/>
    <w:rsid w:val="00AF126E"/>
    <w:rsid w:val="00AF163A"/>
    <w:rsid w:val="00AF2BE8"/>
    <w:rsid w:val="00AF3A5D"/>
    <w:rsid w:val="00AF43BC"/>
    <w:rsid w:val="00AF47CA"/>
    <w:rsid w:val="00AF4A01"/>
    <w:rsid w:val="00AF4B37"/>
    <w:rsid w:val="00AF5557"/>
    <w:rsid w:val="00AF58BB"/>
    <w:rsid w:val="00AF5CDC"/>
    <w:rsid w:val="00AF6480"/>
    <w:rsid w:val="00AF7258"/>
    <w:rsid w:val="00AF73D4"/>
    <w:rsid w:val="00B0041E"/>
    <w:rsid w:val="00B00438"/>
    <w:rsid w:val="00B0093F"/>
    <w:rsid w:val="00B00B5B"/>
    <w:rsid w:val="00B00D52"/>
    <w:rsid w:val="00B027D5"/>
    <w:rsid w:val="00B0443E"/>
    <w:rsid w:val="00B04D0E"/>
    <w:rsid w:val="00B053DB"/>
    <w:rsid w:val="00B05A0D"/>
    <w:rsid w:val="00B05D0A"/>
    <w:rsid w:val="00B07E24"/>
    <w:rsid w:val="00B103D4"/>
    <w:rsid w:val="00B10424"/>
    <w:rsid w:val="00B107DB"/>
    <w:rsid w:val="00B10992"/>
    <w:rsid w:val="00B10C61"/>
    <w:rsid w:val="00B1153E"/>
    <w:rsid w:val="00B11B3D"/>
    <w:rsid w:val="00B12A6D"/>
    <w:rsid w:val="00B12B9C"/>
    <w:rsid w:val="00B1320D"/>
    <w:rsid w:val="00B13E03"/>
    <w:rsid w:val="00B14655"/>
    <w:rsid w:val="00B14E05"/>
    <w:rsid w:val="00B15868"/>
    <w:rsid w:val="00B15B49"/>
    <w:rsid w:val="00B15D21"/>
    <w:rsid w:val="00B168CD"/>
    <w:rsid w:val="00B20245"/>
    <w:rsid w:val="00B20AD1"/>
    <w:rsid w:val="00B20BF9"/>
    <w:rsid w:val="00B20EEF"/>
    <w:rsid w:val="00B22977"/>
    <w:rsid w:val="00B22EA1"/>
    <w:rsid w:val="00B23B30"/>
    <w:rsid w:val="00B24424"/>
    <w:rsid w:val="00B2475B"/>
    <w:rsid w:val="00B24B45"/>
    <w:rsid w:val="00B260CA"/>
    <w:rsid w:val="00B2685B"/>
    <w:rsid w:val="00B26C3C"/>
    <w:rsid w:val="00B27C49"/>
    <w:rsid w:val="00B27D49"/>
    <w:rsid w:val="00B31D7D"/>
    <w:rsid w:val="00B33D24"/>
    <w:rsid w:val="00B3462C"/>
    <w:rsid w:val="00B3556C"/>
    <w:rsid w:val="00B35C88"/>
    <w:rsid w:val="00B35D27"/>
    <w:rsid w:val="00B35ED7"/>
    <w:rsid w:val="00B36129"/>
    <w:rsid w:val="00B3759C"/>
    <w:rsid w:val="00B37908"/>
    <w:rsid w:val="00B37DFA"/>
    <w:rsid w:val="00B40344"/>
    <w:rsid w:val="00B40CD6"/>
    <w:rsid w:val="00B4241C"/>
    <w:rsid w:val="00B43EF2"/>
    <w:rsid w:val="00B44053"/>
    <w:rsid w:val="00B449F2"/>
    <w:rsid w:val="00B4662D"/>
    <w:rsid w:val="00B4698F"/>
    <w:rsid w:val="00B46B6D"/>
    <w:rsid w:val="00B46FD5"/>
    <w:rsid w:val="00B476C4"/>
    <w:rsid w:val="00B50D0E"/>
    <w:rsid w:val="00B50D41"/>
    <w:rsid w:val="00B53153"/>
    <w:rsid w:val="00B54CD0"/>
    <w:rsid w:val="00B551A6"/>
    <w:rsid w:val="00B55461"/>
    <w:rsid w:val="00B55C3C"/>
    <w:rsid w:val="00B55F0C"/>
    <w:rsid w:val="00B55FD3"/>
    <w:rsid w:val="00B56EF6"/>
    <w:rsid w:val="00B5712D"/>
    <w:rsid w:val="00B57785"/>
    <w:rsid w:val="00B627D7"/>
    <w:rsid w:val="00B62F00"/>
    <w:rsid w:val="00B62FA6"/>
    <w:rsid w:val="00B63F79"/>
    <w:rsid w:val="00B6471C"/>
    <w:rsid w:val="00B64E65"/>
    <w:rsid w:val="00B658D9"/>
    <w:rsid w:val="00B65DF7"/>
    <w:rsid w:val="00B66219"/>
    <w:rsid w:val="00B66613"/>
    <w:rsid w:val="00B66977"/>
    <w:rsid w:val="00B67703"/>
    <w:rsid w:val="00B70A1F"/>
    <w:rsid w:val="00B71328"/>
    <w:rsid w:val="00B7135D"/>
    <w:rsid w:val="00B7239C"/>
    <w:rsid w:val="00B72B83"/>
    <w:rsid w:val="00B73934"/>
    <w:rsid w:val="00B739B1"/>
    <w:rsid w:val="00B74FEF"/>
    <w:rsid w:val="00B7503A"/>
    <w:rsid w:val="00B75EEB"/>
    <w:rsid w:val="00B765B5"/>
    <w:rsid w:val="00B7678F"/>
    <w:rsid w:val="00B77C50"/>
    <w:rsid w:val="00B77F84"/>
    <w:rsid w:val="00B822FC"/>
    <w:rsid w:val="00B83B70"/>
    <w:rsid w:val="00B84EA3"/>
    <w:rsid w:val="00B86EE8"/>
    <w:rsid w:val="00B8771A"/>
    <w:rsid w:val="00B9126D"/>
    <w:rsid w:val="00B914CF"/>
    <w:rsid w:val="00B91953"/>
    <w:rsid w:val="00B91C41"/>
    <w:rsid w:val="00B93213"/>
    <w:rsid w:val="00B94030"/>
    <w:rsid w:val="00B941B7"/>
    <w:rsid w:val="00B9498A"/>
    <w:rsid w:val="00B94EB7"/>
    <w:rsid w:val="00B95BBC"/>
    <w:rsid w:val="00B97452"/>
    <w:rsid w:val="00BA08B9"/>
    <w:rsid w:val="00BA1E09"/>
    <w:rsid w:val="00BA2BE9"/>
    <w:rsid w:val="00BA4D85"/>
    <w:rsid w:val="00BA522B"/>
    <w:rsid w:val="00BA52D6"/>
    <w:rsid w:val="00BA5F48"/>
    <w:rsid w:val="00BA6B44"/>
    <w:rsid w:val="00BA6D7C"/>
    <w:rsid w:val="00BB0837"/>
    <w:rsid w:val="00BB08AB"/>
    <w:rsid w:val="00BB1B66"/>
    <w:rsid w:val="00BB1DB2"/>
    <w:rsid w:val="00BB269C"/>
    <w:rsid w:val="00BB28AE"/>
    <w:rsid w:val="00BB2D6F"/>
    <w:rsid w:val="00BB3DC0"/>
    <w:rsid w:val="00BB4AD2"/>
    <w:rsid w:val="00BB5518"/>
    <w:rsid w:val="00BB5542"/>
    <w:rsid w:val="00BB5874"/>
    <w:rsid w:val="00BB5FD3"/>
    <w:rsid w:val="00BB6890"/>
    <w:rsid w:val="00BB6BA6"/>
    <w:rsid w:val="00BC0E19"/>
    <w:rsid w:val="00BC1115"/>
    <w:rsid w:val="00BC1856"/>
    <w:rsid w:val="00BC2C8F"/>
    <w:rsid w:val="00BC4CA5"/>
    <w:rsid w:val="00BC6696"/>
    <w:rsid w:val="00BC6E99"/>
    <w:rsid w:val="00BC7F28"/>
    <w:rsid w:val="00BD0CF7"/>
    <w:rsid w:val="00BD142F"/>
    <w:rsid w:val="00BD1458"/>
    <w:rsid w:val="00BD1DEC"/>
    <w:rsid w:val="00BD319F"/>
    <w:rsid w:val="00BD4073"/>
    <w:rsid w:val="00BD51A2"/>
    <w:rsid w:val="00BD544F"/>
    <w:rsid w:val="00BD5C81"/>
    <w:rsid w:val="00BD7090"/>
    <w:rsid w:val="00BE1F42"/>
    <w:rsid w:val="00BE2C58"/>
    <w:rsid w:val="00BE39BD"/>
    <w:rsid w:val="00BE63B2"/>
    <w:rsid w:val="00BE6C6A"/>
    <w:rsid w:val="00BF0A34"/>
    <w:rsid w:val="00BF1468"/>
    <w:rsid w:val="00BF1B91"/>
    <w:rsid w:val="00BF1F76"/>
    <w:rsid w:val="00BF2BA4"/>
    <w:rsid w:val="00BF2D56"/>
    <w:rsid w:val="00BF2D88"/>
    <w:rsid w:val="00BF2F91"/>
    <w:rsid w:val="00BF36B4"/>
    <w:rsid w:val="00BF4E81"/>
    <w:rsid w:val="00BF4F3E"/>
    <w:rsid w:val="00BF64CC"/>
    <w:rsid w:val="00BF6803"/>
    <w:rsid w:val="00BF7396"/>
    <w:rsid w:val="00BF7732"/>
    <w:rsid w:val="00C0110D"/>
    <w:rsid w:val="00C0184F"/>
    <w:rsid w:val="00C02035"/>
    <w:rsid w:val="00C033EB"/>
    <w:rsid w:val="00C0376B"/>
    <w:rsid w:val="00C0467D"/>
    <w:rsid w:val="00C04C79"/>
    <w:rsid w:val="00C053A3"/>
    <w:rsid w:val="00C05CA5"/>
    <w:rsid w:val="00C05E95"/>
    <w:rsid w:val="00C06786"/>
    <w:rsid w:val="00C108D1"/>
    <w:rsid w:val="00C109DE"/>
    <w:rsid w:val="00C1152D"/>
    <w:rsid w:val="00C118E2"/>
    <w:rsid w:val="00C1260A"/>
    <w:rsid w:val="00C13361"/>
    <w:rsid w:val="00C13713"/>
    <w:rsid w:val="00C158B2"/>
    <w:rsid w:val="00C1607B"/>
    <w:rsid w:val="00C16DC5"/>
    <w:rsid w:val="00C17033"/>
    <w:rsid w:val="00C20202"/>
    <w:rsid w:val="00C205BA"/>
    <w:rsid w:val="00C21A26"/>
    <w:rsid w:val="00C22057"/>
    <w:rsid w:val="00C23B9D"/>
    <w:rsid w:val="00C24902"/>
    <w:rsid w:val="00C254D5"/>
    <w:rsid w:val="00C2653C"/>
    <w:rsid w:val="00C271F5"/>
    <w:rsid w:val="00C275DB"/>
    <w:rsid w:val="00C30321"/>
    <w:rsid w:val="00C30BCC"/>
    <w:rsid w:val="00C314BC"/>
    <w:rsid w:val="00C3324A"/>
    <w:rsid w:val="00C332F6"/>
    <w:rsid w:val="00C33540"/>
    <w:rsid w:val="00C339DD"/>
    <w:rsid w:val="00C35660"/>
    <w:rsid w:val="00C35AC4"/>
    <w:rsid w:val="00C35B21"/>
    <w:rsid w:val="00C35C7A"/>
    <w:rsid w:val="00C3602B"/>
    <w:rsid w:val="00C37250"/>
    <w:rsid w:val="00C40956"/>
    <w:rsid w:val="00C41472"/>
    <w:rsid w:val="00C4176C"/>
    <w:rsid w:val="00C41C8E"/>
    <w:rsid w:val="00C41EBF"/>
    <w:rsid w:val="00C42D03"/>
    <w:rsid w:val="00C430C2"/>
    <w:rsid w:val="00C43A3B"/>
    <w:rsid w:val="00C44327"/>
    <w:rsid w:val="00C443D8"/>
    <w:rsid w:val="00C4460C"/>
    <w:rsid w:val="00C44B92"/>
    <w:rsid w:val="00C457EC"/>
    <w:rsid w:val="00C45A00"/>
    <w:rsid w:val="00C461DC"/>
    <w:rsid w:val="00C46D71"/>
    <w:rsid w:val="00C46F1F"/>
    <w:rsid w:val="00C475BA"/>
    <w:rsid w:val="00C50B8B"/>
    <w:rsid w:val="00C50C68"/>
    <w:rsid w:val="00C50E67"/>
    <w:rsid w:val="00C52015"/>
    <w:rsid w:val="00C5213D"/>
    <w:rsid w:val="00C53FF5"/>
    <w:rsid w:val="00C54198"/>
    <w:rsid w:val="00C547A1"/>
    <w:rsid w:val="00C55397"/>
    <w:rsid w:val="00C5548E"/>
    <w:rsid w:val="00C561BA"/>
    <w:rsid w:val="00C56B88"/>
    <w:rsid w:val="00C57C49"/>
    <w:rsid w:val="00C60448"/>
    <w:rsid w:val="00C608E2"/>
    <w:rsid w:val="00C614FF"/>
    <w:rsid w:val="00C61A6D"/>
    <w:rsid w:val="00C61F7F"/>
    <w:rsid w:val="00C62C3E"/>
    <w:rsid w:val="00C62DFE"/>
    <w:rsid w:val="00C6354E"/>
    <w:rsid w:val="00C63786"/>
    <w:rsid w:val="00C6416B"/>
    <w:rsid w:val="00C64315"/>
    <w:rsid w:val="00C64325"/>
    <w:rsid w:val="00C64539"/>
    <w:rsid w:val="00C654AA"/>
    <w:rsid w:val="00C65AE1"/>
    <w:rsid w:val="00C66ABB"/>
    <w:rsid w:val="00C66CF3"/>
    <w:rsid w:val="00C675FA"/>
    <w:rsid w:val="00C700AC"/>
    <w:rsid w:val="00C7122F"/>
    <w:rsid w:val="00C71ED0"/>
    <w:rsid w:val="00C72697"/>
    <w:rsid w:val="00C72917"/>
    <w:rsid w:val="00C731A6"/>
    <w:rsid w:val="00C74AC0"/>
    <w:rsid w:val="00C767B5"/>
    <w:rsid w:val="00C76F8C"/>
    <w:rsid w:val="00C80E3F"/>
    <w:rsid w:val="00C816EE"/>
    <w:rsid w:val="00C81BF9"/>
    <w:rsid w:val="00C8298D"/>
    <w:rsid w:val="00C82A1F"/>
    <w:rsid w:val="00C82C5D"/>
    <w:rsid w:val="00C83708"/>
    <w:rsid w:val="00C83F3A"/>
    <w:rsid w:val="00C843D4"/>
    <w:rsid w:val="00C8595F"/>
    <w:rsid w:val="00C900D1"/>
    <w:rsid w:val="00C91A8C"/>
    <w:rsid w:val="00C91AC7"/>
    <w:rsid w:val="00C9315E"/>
    <w:rsid w:val="00C93841"/>
    <w:rsid w:val="00C93F9D"/>
    <w:rsid w:val="00C941F7"/>
    <w:rsid w:val="00C9485D"/>
    <w:rsid w:val="00C94E0F"/>
    <w:rsid w:val="00C955DD"/>
    <w:rsid w:val="00C95823"/>
    <w:rsid w:val="00C9663A"/>
    <w:rsid w:val="00C97013"/>
    <w:rsid w:val="00C97E49"/>
    <w:rsid w:val="00CA018E"/>
    <w:rsid w:val="00CA0B1A"/>
    <w:rsid w:val="00CA0D67"/>
    <w:rsid w:val="00CA1896"/>
    <w:rsid w:val="00CA2E7B"/>
    <w:rsid w:val="00CA2F06"/>
    <w:rsid w:val="00CA2F40"/>
    <w:rsid w:val="00CA3441"/>
    <w:rsid w:val="00CA4E45"/>
    <w:rsid w:val="00CA63D1"/>
    <w:rsid w:val="00CA64FE"/>
    <w:rsid w:val="00CA6C84"/>
    <w:rsid w:val="00CA6CF3"/>
    <w:rsid w:val="00CA6F30"/>
    <w:rsid w:val="00CA73E2"/>
    <w:rsid w:val="00CB034B"/>
    <w:rsid w:val="00CB0F04"/>
    <w:rsid w:val="00CB1086"/>
    <w:rsid w:val="00CB1320"/>
    <w:rsid w:val="00CB1B0E"/>
    <w:rsid w:val="00CB1F7A"/>
    <w:rsid w:val="00CB2A29"/>
    <w:rsid w:val="00CB3B8E"/>
    <w:rsid w:val="00CB4DF4"/>
    <w:rsid w:val="00CB5688"/>
    <w:rsid w:val="00CB5C48"/>
    <w:rsid w:val="00CB6C52"/>
    <w:rsid w:val="00CB73D5"/>
    <w:rsid w:val="00CB7897"/>
    <w:rsid w:val="00CC0E9C"/>
    <w:rsid w:val="00CC270A"/>
    <w:rsid w:val="00CC2D25"/>
    <w:rsid w:val="00CC3844"/>
    <w:rsid w:val="00CC3EB7"/>
    <w:rsid w:val="00CC4A54"/>
    <w:rsid w:val="00CC4AA8"/>
    <w:rsid w:val="00CC4B42"/>
    <w:rsid w:val="00CC5998"/>
    <w:rsid w:val="00CC6ACD"/>
    <w:rsid w:val="00CC6B0C"/>
    <w:rsid w:val="00CC72FF"/>
    <w:rsid w:val="00CD006B"/>
    <w:rsid w:val="00CD023A"/>
    <w:rsid w:val="00CD088F"/>
    <w:rsid w:val="00CD10EB"/>
    <w:rsid w:val="00CD16EB"/>
    <w:rsid w:val="00CD2A05"/>
    <w:rsid w:val="00CD337F"/>
    <w:rsid w:val="00CD3C5D"/>
    <w:rsid w:val="00CD6441"/>
    <w:rsid w:val="00CD682A"/>
    <w:rsid w:val="00CD7B20"/>
    <w:rsid w:val="00CE1588"/>
    <w:rsid w:val="00CE1C29"/>
    <w:rsid w:val="00CE2AEF"/>
    <w:rsid w:val="00CE3128"/>
    <w:rsid w:val="00CE528B"/>
    <w:rsid w:val="00CE5CB5"/>
    <w:rsid w:val="00CE5D9E"/>
    <w:rsid w:val="00CE647E"/>
    <w:rsid w:val="00CE6635"/>
    <w:rsid w:val="00CE6AAC"/>
    <w:rsid w:val="00CE6E5D"/>
    <w:rsid w:val="00CE743E"/>
    <w:rsid w:val="00CE7BED"/>
    <w:rsid w:val="00CF1020"/>
    <w:rsid w:val="00CF1D97"/>
    <w:rsid w:val="00CF259B"/>
    <w:rsid w:val="00CF4192"/>
    <w:rsid w:val="00CF53AA"/>
    <w:rsid w:val="00CF5BCA"/>
    <w:rsid w:val="00CF5F5C"/>
    <w:rsid w:val="00CF7410"/>
    <w:rsid w:val="00CF7818"/>
    <w:rsid w:val="00D014B7"/>
    <w:rsid w:val="00D02974"/>
    <w:rsid w:val="00D02DE0"/>
    <w:rsid w:val="00D046AC"/>
    <w:rsid w:val="00D05A7A"/>
    <w:rsid w:val="00D05C1D"/>
    <w:rsid w:val="00D10847"/>
    <w:rsid w:val="00D10B13"/>
    <w:rsid w:val="00D10E96"/>
    <w:rsid w:val="00D118F9"/>
    <w:rsid w:val="00D139D5"/>
    <w:rsid w:val="00D14D8F"/>
    <w:rsid w:val="00D172B6"/>
    <w:rsid w:val="00D175A8"/>
    <w:rsid w:val="00D179E6"/>
    <w:rsid w:val="00D20ADE"/>
    <w:rsid w:val="00D20B09"/>
    <w:rsid w:val="00D211C4"/>
    <w:rsid w:val="00D21B42"/>
    <w:rsid w:val="00D21B50"/>
    <w:rsid w:val="00D229AC"/>
    <w:rsid w:val="00D229F9"/>
    <w:rsid w:val="00D22C98"/>
    <w:rsid w:val="00D23164"/>
    <w:rsid w:val="00D245A2"/>
    <w:rsid w:val="00D24B19"/>
    <w:rsid w:val="00D25009"/>
    <w:rsid w:val="00D25147"/>
    <w:rsid w:val="00D25BCA"/>
    <w:rsid w:val="00D25BEC"/>
    <w:rsid w:val="00D26081"/>
    <w:rsid w:val="00D2756A"/>
    <w:rsid w:val="00D27653"/>
    <w:rsid w:val="00D27B1D"/>
    <w:rsid w:val="00D31CB5"/>
    <w:rsid w:val="00D32AC2"/>
    <w:rsid w:val="00D34F8C"/>
    <w:rsid w:val="00D35414"/>
    <w:rsid w:val="00D35A59"/>
    <w:rsid w:val="00D35E74"/>
    <w:rsid w:val="00D35EE4"/>
    <w:rsid w:val="00D3652F"/>
    <w:rsid w:val="00D36635"/>
    <w:rsid w:val="00D36766"/>
    <w:rsid w:val="00D37105"/>
    <w:rsid w:val="00D379DC"/>
    <w:rsid w:val="00D37DD3"/>
    <w:rsid w:val="00D40CA7"/>
    <w:rsid w:val="00D40F4F"/>
    <w:rsid w:val="00D42AD8"/>
    <w:rsid w:val="00D42F9C"/>
    <w:rsid w:val="00D43359"/>
    <w:rsid w:val="00D437AD"/>
    <w:rsid w:val="00D43A8D"/>
    <w:rsid w:val="00D44FB2"/>
    <w:rsid w:val="00D45BA4"/>
    <w:rsid w:val="00D46053"/>
    <w:rsid w:val="00D46097"/>
    <w:rsid w:val="00D470DC"/>
    <w:rsid w:val="00D50268"/>
    <w:rsid w:val="00D50730"/>
    <w:rsid w:val="00D53F53"/>
    <w:rsid w:val="00D5430E"/>
    <w:rsid w:val="00D55056"/>
    <w:rsid w:val="00D567B2"/>
    <w:rsid w:val="00D5786F"/>
    <w:rsid w:val="00D60246"/>
    <w:rsid w:val="00D619A1"/>
    <w:rsid w:val="00D64510"/>
    <w:rsid w:val="00D65D02"/>
    <w:rsid w:val="00D70A9E"/>
    <w:rsid w:val="00D70E28"/>
    <w:rsid w:val="00D721A3"/>
    <w:rsid w:val="00D73A0B"/>
    <w:rsid w:val="00D73FCA"/>
    <w:rsid w:val="00D81932"/>
    <w:rsid w:val="00D825C4"/>
    <w:rsid w:val="00D82A5B"/>
    <w:rsid w:val="00D82D31"/>
    <w:rsid w:val="00D82F52"/>
    <w:rsid w:val="00D83624"/>
    <w:rsid w:val="00D83C4E"/>
    <w:rsid w:val="00D84460"/>
    <w:rsid w:val="00D84490"/>
    <w:rsid w:val="00D85D6C"/>
    <w:rsid w:val="00D868DD"/>
    <w:rsid w:val="00D87176"/>
    <w:rsid w:val="00D873B0"/>
    <w:rsid w:val="00D90392"/>
    <w:rsid w:val="00D90900"/>
    <w:rsid w:val="00D9109F"/>
    <w:rsid w:val="00D9199F"/>
    <w:rsid w:val="00D91A5A"/>
    <w:rsid w:val="00D92125"/>
    <w:rsid w:val="00D92AEE"/>
    <w:rsid w:val="00D92DB6"/>
    <w:rsid w:val="00D92FD1"/>
    <w:rsid w:val="00D93805"/>
    <w:rsid w:val="00D93B19"/>
    <w:rsid w:val="00D93F08"/>
    <w:rsid w:val="00D9408A"/>
    <w:rsid w:val="00D9494C"/>
    <w:rsid w:val="00D951FD"/>
    <w:rsid w:val="00D96B55"/>
    <w:rsid w:val="00D972EA"/>
    <w:rsid w:val="00D97E31"/>
    <w:rsid w:val="00DA008A"/>
    <w:rsid w:val="00DA0CFF"/>
    <w:rsid w:val="00DA1037"/>
    <w:rsid w:val="00DA1D78"/>
    <w:rsid w:val="00DA25CF"/>
    <w:rsid w:val="00DA5086"/>
    <w:rsid w:val="00DA6C33"/>
    <w:rsid w:val="00DA7448"/>
    <w:rsid w:val="00DA7860"/>
    <w:rsid w:val="00DB036E"/>
    <w:rsid w:val="00DB0648"/>
    <w:rsid w:val="00DB2111"/>
    <w:rsid w:val="00DB51C6"/>
    <w:rsid w:val="00DB5468"/>
    <w:rsid w:val="00DB5821"/>
    <w:rsid w:val="00DB5BAB"/>
    <w:rsid w:val="00DB6002"/>
    <w:rsid w:val="00DB74E1"/>
    <w:rsid w:val="00DC0B17"/>
    <w:rsid w:val="00DC200A"/>
    <w:rsid w:val="00DC20FA"/>
    <w:rsid w:val="00DC4B6D"/>
    <w:rsid w:val="00DC53AA"/>
    <w:rsid w:val="00DC699E"/>
    <w:rsid w:val="00DC6C70"/>
    <w:rsid w:val="00DD0AEC"/>
    <w:rsid w:val="00DD1972"/>
    <w:rsid w:val="00DD224F"/>
    <w:rsid w:val="00DD2887"/>
    <w:rsid w:val="00DD3A95"/>
    <w:rsid w:val="00DD3FF1"/>
    <w:rsid w:val="00DD458C"/>
    <w:rsid w:val="00DD4829"/>
    <w:rsid w:val="00DD546A"/>
    <w:rsid w:val="00DD6351"/>
    <w:rsid w:val="00DD6FDA"/>
    <w:rsid w:val="00DD71E2"/>
    <w:rsid w:val="00DE19E7"/>
    <w:rsid w:val="00DE1BEB"/>
    <w:rsid w:val="00DE3228"/>
    <w:rsid w:val="00DE338C"/>
    <w:rsid w:val="00DE3AA5"/>
    <w:rsid w:val="00DE3C05"/>
    <w:rsid w:val="00DE3F8B"/>
    <w:rsid w:val="00DE4210"/>
    <w:rsid w:val="00DE4E65"/>
    <w:rsid w:val="00DE5802"/>
    <w:rsid w:val="00DE5E3B"/>
    <w:rsid w:val="00DE5F4C"/>
    <w:rsid w:val="00DE6076"/>
    <w:rsid w:val="00DF092B"/>
    <w:rsid w:val="00DF13D7"/>
    <w:rsid w:val="00DF21B5"/>
    <w:rsid w:val="00DF2280"/>
    <w:rsid w:val="00DF34B1"/>
    <w:rsid w:val="00DF3B9A"/>
    <w:rsid w:val="00DF4490"/>
    <w:rsid w:val="00DF500E"/>
    <w:rsid w:val="00DF5361"/>
    <w:rsid w:val="00DF5700"/>
    <w:rsid w:val="00DF58F9"/>
    <w:rsid w:val="00DF5990"/>
    <w:rsid w:val="00DF5C31"/>
    <w:rsid w:val="00DF6425"/>
    <w:rsid w:val="00DF6A53"/>
    <w:rsid w:val="00DF6B95"/>
    <w:rsid w:val="00E000E8"/>
    <w:rsid w:val="00E005EA"/>
    <w:rsid w:val="00E0065D"/>
    <w:rsid w:val="00E02B7B"/>
    <w:rsid w:val="00E041D6"/>
    <w:rsid w:val="00E10ACC"/>
    <w:rsid w:val="00E11062"/>
    <w:rsid w:val="00E12B47"/>
    <w:rsid w:val="00E142F6"/>
    <w:rsid w:val="00E14AA4"/>
    <w:rsid w:val="00E14AE4"/>
    <w:rsid w:val="00E16750"/>
    <w:rsid w:val="00E175E3"/>
    <w:rsid w:val="00E17789"/>
    <w:rsid w:val="00E20912"/>
    <w:rsid w:val="00E209ED"/>
    <w:rsid w:val="00E20B10"/>
    <w:rsid w:val="00E21A9B"/>
    <w:rsid w:val="00E221DF"/>
    <w:rsid w:val="00E22475"/>
    <w:rsid w:val="00E22566"/>
    <w:rsid w:val="00E228B9"/>
    <w:rsid w:val="00E23185"/>
    <w:rsid w:val="00E2332A"/>
    <w:rsid w:val="00E2653F"/>
    <w:rsid w:val="00E27440"/>
    <w:rsid w:val="00E274D1"/>
    <w:rsid w:val="00E2793E"/>
    <w:rsid w:val="00E30D17"/>
    <w:rsid w:val="00E314FC"/>
    <w:rsid w:val="00E32A45"/>
    <w:rsid w:val="00E32E08"/>
    <w:rsid w:val="00E3367A"/>
    <w:rsid w:val="00E343F2"/>
    <w:rsid w:val="00E35312"/>
    <w:rsid w:val="00E357B2"/>
    <w:rsid w:val="00E36067"/>
    <w:rsid w:val="00E36AC2"/>
    <w:rsid w:val="00E36E9C"/>
    <w:rsid w:val="00E37014"/>
    <w:rsid w:val="00E376AE"/>
    <w:rsid w:val="00E379B1"/>
    <w:rsid w:val="00E37A1E"/>
    <w:rsid w:val="00E408CC"/>
    <w:rsid w:val="00E409F6"/>
    <w:rsid w:val="00E419ED"/>
    <w:rsid w:val="00E42634"/>
    <w:rsid w:val="00E431CF"/>
    <w:rsid w:val="00E432CB"/>
    <w:rsid w:val="00E4370B"/>
    <w:rsid w:val="00E4467D"/>
    <w:rsid w:val="00E4492E"/>
    <w:rsid w:val="00E466A2"/>
    <w:rsid w:val="00E473DB"/>
    <w:rsid w:val="00E47760"/>
    <w:rsid w:val="00E5065E"/>
    <w:rsid w:val="00E50C37"/>
    <w:rsid w:val="00E515AC"/>
    <w:rsid w:val="00E526DB"/>
    <w:rsid w:val="00E5353A"/>
    <w:rsid w:val="00E53797"/>
    <w:rsid w:val="00E53AF6"/>
    <w:rsid w:val="00E54AD7"/>
    <w:rsid w:val="00E552F3"/>
    <w:rsid w:val="00E55CED"/>
    <w:rsid w:val="00E55FC7"/>
    <w:rsid w:val="00E57660"/>
    <w:rsid w:val="00E57D72"/>
    <w:rsid w:val="00E6045F"/>
    <w:rsid w:val="00E60A17"/>
    <w:rsid w:val="00E60B8A"/>
    <w:rsid w:val="00E61262"/>
    <w:rsid w:val="00E61872"/>
    <w:rsid w:val="00E61E45"/>
    <w:rsid w:val="00E6200A"/>
    <w:rsid w:val="00E629D6"/>
    <w:rsid w:val="00E62EBD"/>
    <w:rsid w:val="00E63CDD"/>
    <w:rsid w:val="00E6455A"/>
    <w:rsid w:val="00E64D58"/>
    <w:rsid w:val="00E65E9C"/>
    <w:rsid w:val="00E66E82"/>
    <w:rsid w:val="00E70F74"/>
    <w:rsid w:val="00E713ED"/>
    <w:rsid w:val="00E715AD"/>
    <w:rsid w:val="00E718BC"/>
    <w:rsid w:val="00E71B03"/>
    <w:rsid w:val="00E74EBF"/>
    <w:rsid w:val="00E7574C"/>
    <w:rsid w:val="00E75B31"/>
    <w:rsid w:val="00E75D6E"/>
    <w:rsid w:val="00E762FF"/>
    <w:rsid w:val="00E76AF7"/>
    <w:rsid w:val="00E76F02"/>
    <w:rsid w:val="00E80153"/>
    <w:rsid w:val="00E80176"/>
    <w:rsid w:val="00E81307"/>
    <w:rsid w:val="00E81E33"/>
    <w:rsid w:val="00E829A6"/>
    <w:rsid w:val="00E83326"/>
    <w:rsid w:val="00E836AC"/>
    <w:rsid w:val="00E849E1"/>
    <w:rsid w:val="00E865B2"/>
    <w:rsid w:val="00E875E0"/>
    <w:rsid w:val="00E87B4A"/>
    <w:rsid w:val="00E90C91"/>
    <w:rsid w:val="00E92DE0"/>
    <w:rsid w:val="00E9343C"/>
    <w:rsid w:val="00E94E9C"/>
    <w:rsid w:val="00E95786"/>
    <w:rsid w:val="00E959C6"/>
    <w:rsid w:val="00E96D2D"/>
    <w:rsid w:val="00EA08F7"/>
    <w:rsid w:val="00EA0A6F"/>
    <w:rsid w:val="00EA2426"/>
    <w:rsid w:val="00EA3298"/>
    <w:rsid w:val="00EA32DF"/>
    <w:rsid w:val="00EA3840"/>
    <w:rsid w:val="00EA4320"/>
    <w:rsid w:val="00EA51BF"/>
    <w:rsid w:val="00EA5E41"/>
    <w:rsid w:val="00EA60C9"/>
    <w:rsid w:val="00EA692E"/>
    <w:rsid w:val="00EA7AAD"/>
    <w:rsid w:val="00EA7CF2"/>
    <w:rsid w:val="00EA7E96"/>
    <w:rsid w:val="00EB0705"/>
    <w:rsid w:val="00EB1748"/>
    <w:rsid w:val="00EB2120"/>
    <w:rsid w:val="00EB2963"/>
    <w:rsid w:val="00EB2E67"/>
    <w:rsid w:val="00EB3D0E"/>
    <w:rsid w:val="00EB42CE"/>
    <w:rsid w:val="00EB498A"/>
    <w:rsid w:val="00EB4A50"/>
    <w:rsid w:val="00EB4BBD"/>
    <w:rsid w:val="00EB4E70"/>
    <w:rsid w:val="00EB7E66"/>
    <w:rsid w:val="00EC2ED7"/>
    <w:rsid w:val="00EC479C"/>
    <w:rsid w:val="00EC5CD3"/>
    <w:rsid w:val="00EC6267"/>
    <w:rsid w:val="00EC65D8"/>
    <w:rsid w:val="00EC6F64"/>
    <w:rsid w:val="00EC7437"/>
    <w:rsid w:val="00ED03B6"/>
    <w:rsid w:val="00ED0DBE"/>
    <w:rsid w:val="00ED10FA"/>
    <w:rsid w:val="00ED1235"/>
    <w:rsid w:val="00ED22C0"/>
    <w:rsid w:val="00ED24A0"/>
    <w:rsid w:val="00ED35B9"/>
    <w:rsid w:val="00ED43CE"/>
    <w:rsid w:val="00ED4FBE"/>
    <w:rsid w:val="00ED5833"/>
    <w:rsid w:val="00ED6718"/>
    <w:rsid w:val="00EE084E"/>
    <w:rsid w:val="00EE2FC7"/>
    <w:rsid w:val="00EE310F"/>
    <w:rsid w:val="00EE3C28"/>
    <w:rsid w:val="00EE43C6"/>
    <w:rsid w:val="00EE4EC3"/>
    <w:rsid w:val="00EE5BB7"/>
    <w:rsid w:val="00EE5F23"/>
    <w:rsid w:val="00EE637F"/>
    <w:rsid w:val="00EE6A78"/>
    <w:rsid w:val="00EE6D3F"/>
    <w:rsid w:val="00EF0474"/>
    <w:rsid w:val="00EF118C"/>
    <w:rsid w:val="00EF18D7"/>
    <w:rsid w:val="00EF1DB7"/>
    <w:rsid w:val="00EF23CE"/>
    <w:rsid w:val="00EF25A0"/>
    <w:rsid w:val="00EF5195"/>
    <w:rsid w:val="00EF564C"/>
    <w:rsid w:val="00EF611C"/>
    <w:rsid w:val="00EF6498"/>
    <w:rsid w:val="00EF68E7"/>
    <w:rsid w:val="00EF73AD"/>
    <w:rsid w:val="00EF7B8C"/>
    <w:rsid w:val="00F0010F"/>
    <w:rsid w:val="00F009B0"/>
    <w:rsid w:val="00F009C4"/>
    <w:rsid w:val="00F01D15"/>
    <w:rsid w:val="00F046DD"/>
    <w:rsid w:val="00F04F58"/>
    <w:rsid w:val="00F055B6"/>
    <w:rsid w:val="00F056CF"/>
    <w:rsid w:val="00F06561"/>
    <w:rsid w:val="00F07758"/>
    <w:rsid w:val="00F1014F"/>
    <w:rsid w:val="00F118CF"/>
    <w:rsid w:val="00F119DA"/>
    <w:rsid w:val="00F11A13"/>
    <w:rsid w:val="00F12488"/>
    <w:rsid w:val="00F12F19"/>
    <w:rsid w:val="00F13BF7"/>
    <w:rsid w:val="00F13E05"/>
    <w:rsid w:val="00F144E5"/>
    <w:rsid w:val="00F14E8D"/>
    <w:rsid w:val="00F1675F"/>
    <w:rsid w:val="00F168F9"/>
    <w:rsid w:val="00F1731E"/>
    <w:rsid w:val="00F17775"/>
    <w:rsid w:val="00F1790D"/>
    <w:rsid w:val="00F17996"/>
    <w:rsid w:val="00F2079B"/>
    <w:rsid w:val="00F20C64"/>
    <w:rsid w:val="00F23953"/>
    <w:rsid w:val="00F23958"/>
    <w:rsid w:val="00F240E2"/>
    <w:rsid w:val="00F24643"/>
    <w:rsid w:val="00F24BCE"/>
    <w:rsid w:val="00F27070"/>
    <w:rsid w:val="00F27185"/>
    <w:rsid w:val="00F27408"/>
    <w:rsid w:val="00F27EF9"/>
    <w:rsid w:val="00F3054A"/>
    <w:rsid w:val="00F30722"/>
    <w:rsid w:val="00F3162C"/>
    <w:rsid w:val="00F321E8"/>
    <w:rsid w:val="00F322C1"/>
    <w:rsid w:val="00F32528"/>
    <w:rsid w:val="00F32FCB"/>
    <w:rsid w:val="00F3355B"/>
    <w:rsid w:val="00F33CA4"/>
    <w:rsid w:val="00F34046"/>
    <w:rsid w:val="00F34A91"/>
    <w:rsid w:val="00F34BDC"/>
    <w:rsid w:val="00F350F0"/>
    <w:rsid w:val="00F358DD"/>
    <w:rsid w:val="00F35A42"/>
    <w:rsid w:val="00F36019"/>
    <w:rsid w:val="00F37791"/>
    <w:rsid w:val="00F40900"/>
    <w:rsid w:val="00F433A8"/>
    <w:rsid w:val="00F433C3"/>
    <w:rsid w:val="00F45452"/>
    <w:rsid w:val="00F503E8"/>
    <w:rsid w:val="00F51DD4"/>
    <w:rsid w:val="00F521C0"/>
    <w:rsid w:val="00F5279A"/>
    <w:rsid w:val="00F5365C"/>
    <w:rsid w:val="00F537AF"/>
    <w:rsid w:val="00F546ED"/>
    <w:rsid w:val="00F549D2"/>
    <w:rsid w:val="00F54B40"/>
    <w:rsid w:val="00F54D7B"/>
    <w:rsid w:val="00F55EF3"/>
    <w:rsid w:val="00F56C64"/>
    <w:rsid w:val="00F5722E"/>
    <w:rsid w:val="00F575E0"/>
    <w:rsid w:val="00F57D53"/>
    <w:rsid w:val="00F60831"/>
    <w:rsid w:val="00F61E46"/>
    <w:rsid w:val="00F627C1"/>
    <w:rsid w:val="00F64B9B"/>
    <w:rsid w:val="00F657AE"/>
    <w:rsid w:val="00F65D1C"/>
    <w:rsid w:val="00F70B17"/>
    <w:rsid w:val="00F70E85"/>
    <w:rsid w:val="00F71498"/>
    <w:rsid w:val="00F7184F"/>
    <w:rsid w:val="00F71C9A"/>
    <w:rsid w:val="00F726C7"/>
    <w:rsid w:val="00F72C89"/>
    <w:rsid w:val="00F74BE7"/>
    <w:rsid w:val="00F75209"/>
    <w:rsid w:val="00F76C33"/>
    <w:rsid w:val="00F77E49"/>
    <w:rsid w:val="00F807B5"/>
    <w:rsid w:val="00F80CBB"/>
    <w:rsid w:val="00F81375"/>
    <w:rsid w:val="00F81EFE"/>
    <w:rsid w:val="00F82F65"/>
    <w:rsid w:val="00F831E2"/>
    <w:rsid w:val="00F8335D"/>
    <w:rsid w:val="00F83869"/>
    <w:rsid w:val="00F83A23"/>
    <w:rsid w:val="00F83AED"/>
    <w:rsid w:val="00F851AD"/>
    <w:rsid w:val="00F86301"/>
    <w:rsid w:val="00F86763"/>
    <w:rsid w:val="00F87208"/>
    <w:rsid w:val="00F90955"/>
    <w:rsid w:val="00F90AAD"/>
    <w:rsid w:val="00F90B66"/>
    <w:rsid w:val="00F91035"/>
    <w:rsid w:val="00F91181"/>
    <w:rsid w:val="00F91660"/>
    <w:rsid w:val="00F91AEF"/>
    <w:rsid w:val="00F91B46"/>
    <w:rsid w:val="00F92C08"/>
    <w:rsid w:val="00F93774"/>
    <w:rsid w:val="00F93E43"/>
    <w:rsid w:val="00F93EB7"/>
    <w:rsid w:val="00F955AA"/>
    <w:rsid w:val="00F96AA2"/>
    <w:rsid w:val="00F9735A"/>
    <w:rsid w:val="00F977D1"/>
    <w:rsid w:val="00F97CDD"/>
    <w:rsid w:val="00FA07C8"/>
    <w:rsid w:val="00FA1DAA"/>
    <w:rsid w:val="00FA2120"/>
    <w:rsid w:val="00FA2E49"/>
    <w:rsid w:val="00FA3F6F"/>
    <w:rsid w:val="00FA723A"/>
    <w:rsid w:val="00FA7298"/>
    <w:rsid w:val="00FB0048"/>
    <w:rsid w:val="00FB3819"/>
    <w:rsid w:val="00FB42A4"/>
    <w:rsid w:val="00FB5752"/>
    <w:rsid w:val="00FB643A"/>
    <w:rsid w:val="00FB6488"/>
    <w:rsid w:val="00FB6EE0"/>
    <w:rsid w:val="00FB76C8"/>
    <w:rsid w:val="00FB7EDB"/>
    <w:rsid w:val="00FB7F8C"/>
    <w:rsid w:val="00FC028C"/>
    <w:rsid w:val="00FC1A31"/>
    <w:rsid w:val="00FC2233"/>
    <w:rsid w:val="00FC309F"/>
    <w:rsid w:val="00FC331D"/>
    <w:rsid w:val="00FC3827"/>
    <w:rsid w:val="00FC4341"/>
    <w:rsid w:val="00FC4AE1"/>
    <w:rsid w:val="00FC4C64"/>
    <w:rsid w:val="00FC6459"/>
    <w:rsid w:val="00FC7AE1"/>
    <w:rsid w:val="00FD0A27"/>
    <w:rsid w:val="00FD2104"/>
    <w:rsid w:val="00FD3DF8"/>
    <w:rsid w:val="00FD4DF4"/>
    <w:rsid w:val="00FD51B4"/>
    <w:rsid w:val="00FD6A41"/>
    <w:rsid w:val="00FD6EF2"/>
    <w:rsid w:val="00FD7160"/>
    <w:rsid w:val="00FD7D65"/>
    <w:rsid w:val="00FE0124"/>
    <w:rsid w:val="00FE0661"/>
    <w:rsid w:val="00FE0D04"/>
    <w:rsid w:val="00FE15CC"/>
    <w:rsid w:val="00FE26C3"/>
    <w:rsid w:val="00FE2C20"/>
    <w:rsid w:val="00FE310D"/>
    <w:rsid w:val="00FE3334"/>
    <w:rsid w:val="00FE382E"/>
    <w:rsid w:val="00FE3F69"/>
    <w:rsid w:val="00FE45B5"/>
    <w:rsid w:val="00FE4FAD"/>
    <w:rsid w:val="00FE6049"/>
    <w:rsid w:val="00FE7B0F"/>
    <w:rsid w:val="00FE7BAA"/>
    <w:rsid w:val="00FE7E53"/>
    <w:rsid w:val="00FF356E"/>
    <w:rsid w:val="00FF58EA"/>
    <w:rsid w:val="00FF59D9"/>
    <w:rsid w:val="00FF5F0A"/>
    <w:rsid w:val="00FF65F2"/>
    <w:rsid w:val="00FF68FB"/>
    <w:rsid w:val="00FF6C43"/>
    <w:rsid w:val="00FF6D0C"/>
    <w:rsid w:val="00FF700A"/>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F64"/>
    <w:rPr>
      <w:rFonts w:ascii="Arial" w:hAnsi="Arial" w:cs="Arial" w:hint="default"/>
      <w:caps/>
      <w:strike w:val="0"/>
      <w:dstrike w:val="0"/>
      <w:color w:val="000000"/>
      <w:sz w:val="15"/>
      <w:szCs w:val="15"/>
      <w:u w:val="none"/>
      <w:effect w:val="none"/>
    </w:rPr>
  </w:style>
  <w:style w:type="character" w:styleId="Strong">
    <w:name w:val="Strong"/>
    <w:basedOn w:val="DefaultParagraphFont"/>
    <w:uiPriority w:val="22"/>
    <w:qFormat/>
    <w:rsid w:val="00EC6F64"/>
    <w:rPr>
      <w:b/>
      <w:bCs/>
    </w:rPr>
  </w:style>
  <w:style w:type="paragraph" w:styleId="NormalWeb">
    <w:name w:val="Normal (Web)"/>
    <w:basedOn w:val="Normal"/>
    <w:uiPriority w:val="99"/>
    <w:unhideWhenUsed/>
    <w:rsid w:val="00EC6F64"/>
    <w:pPr>
      <w:spacing w:before="100" w:beforeAutospacing="1" w:after="408"/>
    </w:pPr>
    <w:rPr>
      <w:color w:val="000000"/>
      <w:sz w:val="26"/>
      <w:szCs w:val="26"/>
      <w:lang w:val="en-US" w:eastAsia="en-US"/>
    </w:rPr>
  </w:style>
  <w:style w:type="character" w:styleId="Emphasis">
    <w:name w:val="Emphasis"/>
    <w:basedOn w:val="DefaultParagraphFont"/>
    <w:uiPriority w:val="20"/>
    <w:qFormat/>
    <w:rsid w:val="00EC6F64"/>
    <w:rPr>
      <w:i/>
      <w:iCs/>
    </w:rPr>
  </w:style>
  <w:style w:type="paragraph" w:styleId="BalloonText">
    <w:name w:val="Balloon Text"/>
    <w:basedOn w:val="Normal"/>
    <w:link w:val="BalloonTextChar"/>
    <w:rsid w:val="00EC6F64"/>
    <w:rPr>
      <w:rFonts w:ascii="Tahoma" w:hAnsi="Tahoma" w:cs="Tahoma"/>
      <w:sz w:val="16"/>
      <w:szCs w:val="16"/>
    </w:rPr>
  </w:style>
  <w:style w:type="character" w:customStyle="1" w:styleId="BalloonTextChar">
    <w:name w:val="Balloon Text Char"/>
    <w:basedOn w:val="DefaultParagraphFont"/>
    <w:link w:val="BalloonText"/>
    <w:rsid w:val="00EC6F64"/>
    <w:rPr>
      <w:rFonts w:ascii="Tahoma" w:hAnsi="Tahoma" w:cs="Tahoma"/>
      <w:sz w:val="16"/>
      <w:szCs w:val="16"/>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F64"/>
    <w:rPr>
      <w:rFonts w:ascii="Arial" w:hAnsi="Arial" w:cs="Arial" w:hint="default"/>
      <w:caps/>
      <w:strike w:val="0"/>
      <w:dstrike w:val="0"/>
      <w:color w:val="000000"/>
      <w:sz w:val="15"/>
      <w:szCs w:val="15"/>
      <w:u w:val="none"/>
      <w:effect w:val="none"/>
    </w:rPr>
  </w:style>
  <w:style w:type="character" w:styleId="Strong">
    <w:name w:val="Strong"/>
    <w:basedOn w:val="DefaultParagraphFont"/>
    <w:uiPriority w:val="22"/>
    <w:qFormat/>
    <w:rsid w:val="00EC6F64"/>
    <w:rPr>
      <w:b/>
      <w:bCs/>
    </w:rPr>
  </w:style>
  <w:style w:type="paragraph" w:styleId="NormalWeb">
    <w:name w:val="Normal (Web)"/>
    <w:basedOn w:val="Normal"/>
    <w:uiPriority w:val="99"/>
    <w:unhideWhenUsed/>
    <w:rsid w:val="00EC6F64"/>
    <w:pPr>
      <w:spacing w:before="100" w:beforeAutospacing="1" w:after="408"/>
    </w:pPr>
    <w:rPr>
      <w:color w:val="000000"/>
      <w:sz w:val="26"/>
      <w:szCs w:val="26"/>
      <w:lang w:val="en-US" w:eastAsia="en-US"/>
    </w:rPr>
  </w:style>
  <w:style w:type="character" w:styleId="Emphasis">
    <w:name w:val="Emphasis"/>
    <w:basedOn w:val="DefaultParagraphFont"/>
    <w:uiPriority w:val="20"/>
    <w:qFormat/>
    <w:rsid w:val="00EC6F64"/>
    <w:rPr>
      <w:i/>
      <w:iCs/>
    </w:rPr>
  </w:style>
  <w:style w:type="paragraph" w:styleId="BalloonText">
    <w:name w:val="Balloon Text"/>
    <w:basedOn w:val="Normal"/>
    <w:link w:val="BalloonTextChar"/>
    <w:rsid w:val="00EC6F64"/>
    <w:rPr>
      <w:rFonts w:ascii="Tahoma" w:hAnsi="Tahoma" w:cs="Tahoma"/>
      <w:sz w:val="16"/>
      <w:szCs w:val="16"/>
    </w:rPr>
  </w:style>
  <w:style w:type="character" w:customStyle="1" w:styleId="BalloonTextChar">
    <w:name w:val="Balloon Text Char"/>
    <w:basedOn w:val="DefaultParagraphFont"/>
    <w:link w:val="BalloonText"/>
    <w:rsid w:val="00EC6F64"/>
    <w:rPr>
      <w:rFonts w:ascii="Tahoma" w:hAnsi="Tahoma" w:cs="Tahoma"/>
      <w:sz w:val="16"/>
      <w:szCs w:val="16"/>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857317">
      <w:bodyDiv w:val="1"/>
      <w:marLeft w:val="0"/>
      <w:marRight w:val="0"/>
      <w:marTop w:val="0"/>
      <w:marBottom w:val="0"/>
      <w:divBdr>
        <w:top w:val="none" w:sz="0" w:space="0" w:color="auto"/>
        <w:left w:val="none" w:sz="0" w:space="0" w:color="auto"/>
        <w:bottom w:val="none" w:sz="0" w:space="0" w:color="auto"/>
        <w:right w:val="none" w:sz="0" w:space="0" w:color="auto"/>
      </w:divBdr>
      <w:divsChild>
        <w:div w:id="1010718021">
          <w:marLeft w:val="0"/>
          <w:marRight w:val="0"/>
          <w:marTop w:val="0"/>
          <w:marBottom w:val="0"/>
          <w:divBdr>
            <w:top w:val="none" w:sz="0" w:space="0" w:color="auto"/>
            <w:left w:val="none" w:sz="0" w:space="0" w:color="auto"/>
            <w:bottom w:val="none" w:sz="0" w:space="0" w:color="auto"/>
            <w:right w:val="none" w:sz="0" w:space="0" w:color="auto"/>
          </w:divBdr>
          <w:divsChild>
            <w:div w:id="274756431">
              <w:marLeft w:val="0"/>
              <w:marRight w:val="0"/>
              <w:marTop w:val="0"/>
              <w:marBottom w:val="0"/>
              <w:divBdr>
                <w:top w:val="none" w:sz="0" w:space="0" w:color="auto"/>
                <w:left w:val="single" w:sz="6" w:space="0" w:color="ECEBEB"/>
                <w:bottom w:val="single" w:sz="6" w:space="0" w:color="ECEBEB"/>
                <w:right w:val="single" w:sz="6" w:space="0" w:color="ECEBEB"/>
              </w:divBdr>
              <w:divsChild>
                <w:div w:id="452670321">
                  <w:marLeft w:val="0"/>
                  <w:marRight w:val="0"/>
                  <w:marTop w:val="0"/>
                  <w:marBottom w:val="0"/>
                  <w:divBdr>
                    <w:top w:val="none" w:sz="0" w:space="0" w:color="auto"/>
                    <w:left w:val="none" w:sz="0" w:space="0" w:color="auto"/>
                    <w:bottom w:val="none" w:sz="0" w:space="0" w:color="auto"/>
                    <w:right w:val="none" w:sz="0" w:space="0" w:color="auto"/>
                  </w:divBdr>
                  <w:divsChild>
                    <w:div w:id="340276392">
                      <w:marLeft w:val="0"/>
                      <w:marRight w:val="0"/>
                      <w:marTop w:val="0"/>
                      <w:marBottom w:val="0"/>
                      <w:divBdr>
                        <w:top w:val="none" w:sz="0" w:space="0" w:color="auto"/>
                        <w:left w:val="none" w:sz="0" w:space="0" w:color="auto"/>
                        <w:bottom w:val="none" w:sz="0" w:space="0" w:color="auto"/>
                        <w:right w:val="none" w:sz="0" w:space="0" w:color="auto"/>
                      </w:divBdr>
                      <w:divsChild>
                        <w:div w:id="1799256979">
                          <w:marLeft w:val="0"/>
                          <w:marRight w:val="0"/>
                          <w:marTop w:val="0"/>
                          <w:marBottom w:val="0"/>
                          <w:divBdr>
                            <w:top w:val="none" w:sz="0" w:space="0" w:color="auto"/>
                            <w:left w:val="none" w:sz="0" w:space="0" w:color="auto"/>
                            <w:bottom w:val="none" w:sz="0" w:space="0" w:color="auto"/>
                            <w:right w:val="none" w:sz="0" w:space="0" w:color="auto"/>
                          </w:divBdr>
                        </w:div>
                        <w:div w:id="1341662680">
                          <w:marLeft w:val="0"/>
                          <w:marRight w:val="0"/>
                          <w:marTop w:val="0"/>
                          <w:marBottom w:val="0"/>
                          <w:divBdr>
                            <w:top w:val="none" w:sz="0" w:space="0" w:color="auto"/>
                            <w:left w:val="none" w:sz="0" w:space="0" w:color="auto"/>
                            <w:bottom w:val="none" w:sz="0" w:space="0" w:color="auto"/>
                            <w:right w:val="none" w:sz="0" w:space="0" w:color="auto"/>
                          </w:divBdr>
                          <w:divsChild>
                            <w:div w:id="1448232089">
                              <w:marLeft w:val="0"/>
                              <w:marRight w:val="0"/>
                              <w:marTop w:val="150"/>
                              <w:marBottom w:val="0"/>
                              <w:divBdr>
                                <w:top w:val="none" w:sz="0" w:space="0" w:color="auto"/>
                                <w:left w:val="none" w:sz="0" w:space="0" w:color="auto"/>
                                <w:bottom w:val="none" w:sz="0" w:space="0" w:color="auto"/>
                                <w:right w:val="none" w:sz="0" w:space="0" w:color="auto"/>
                              </w:divBdr>
                            </w:div>
                          </w:divsChild>
                        </w:div>
                        <w:div w:id="1790276571">
                          <w:marLeft w:val="0"/>
                          <w:marRight w:val="0"/>
                          <w:marTop w:val="0"/>
                          <w:marBottom w:val="0"/>
                          <w:divBdr>
                            <w:top w:val="none" w:sz="0" w:space="0" w:color="auto"/>
                            <w:left w:val="none" w:sz="0" w:space="0" w:color="auto"/>
                            <w:bottom w:val="none" w:sz="0" w:space="0" w:color="auto"/>
                            <w:right w:val="none" w:sz="0" w:space="0" w:color="auto"/>
                          </w:divBdr>
                        </w:div>
                        <w:div w:id="970939593">
                          <w:marLeft w:val="0"/>
                          <w:marRight w:val="0"/>
                          <w:marTop w:val="0"/>
                          <w:marBottom w:val="0"/>
                          <w:divBdr>
                            <w:top w:val="none" w:sz="0" w:space="0" w:color="auto"/>
                            <w:left w:val="none" w:sz="0" w:space="0" w:color="auto"/>
                            <w:bottom w:val="none" w:sz="0" w:space="0" w:color="auto"/>
                            <w:right w:val="none" w:sz="0" w:space="0" w:color="auto"/>
                          </w:divBdr>
                        </w:div>
                        <w:div w:id="606622031">
                          <w:marLeft w:val="0"/>
                          <w:marRight w:val="0"/>
                          <w:marTop w:val="0"/>
                          <w:marBottom w:val="0"/>
                          <w:divBdr>
                            <w:top w:val="none" w:sz="0" w:space="0" w:color="auto"/>
                            <w:left w:val="none" w:sz="0" w:space="0" w:color="auto"/>
                            <w:bottom w:val="none" w:sz="0" w:space="0" w:color="auto"/>
                            <w:right w:val="none" w:sz="0" w:space="0" w:color="auto"/>
                          </w:divBdr>
                        </w:div>
                        <w:div w:id="14549894">
                          <w:marLeft w:val="0"/>
                          <w:marRight w:val="0"/>
                          <w:marTop w:val="0"/>
                          <w:marBottom w:val="0"/>
                          <w:divBdr>
                            <w:top w:val="none" w:sz="0" w:space="0" w:color="auto"/>
                            <w:left w:val="none" w:sz="0" w:space="0" w:color="auto"/>
                            <w:bottom w:val="none" w:sz="0" w:space="0" w:color="auto"/>
                            <w:right w:val="none" w:sz="0" w:space="0" w:color="auto"/>
                          </w:divBdr>
                        </w:div>
                        <w:div w:id="1048335127">
                          <w:marLeft w:val="0"/>
                          <w:marRight w:val="0"/>
                          <w:marTop w:val="0"/>
                          <w:marBottom w:val="0"/>
                          <w:divBdr>
                            <w:top w:val="none" w:sz="0" w:space="0" w:color="auto"/>
                            <w:left w:val="none" w:sz="0" w:space="0" w:color="auto"/>
                            <w:bottom w:val="none" w:sz="0" w:space="0" w:color="auto"/>
                            <w:right w:val="none" w:sz="0" w:space="0" w:color="auto"/>
                          </w:divBdr>
                        </w:div>
                        <w:div w:id="833842761">
                          <w:marLeft w:val="0"/>
                          <w:marRight w:val="0"/>
                          <w:marTop w:val="150"/>
                          <w:marBottom w:val="0"/>
                          <w:divBdr>
                            <w:top w:val="none" w:sz="0" w:space="0" w:color="auto"/>
                            <w:left w:val="none" w:sz="0" w:space="0" w:color="auto"/>
                            <w:bottom w:val="none" w:sz="0" w:space="0" w:color="auto"/>
                            <w:right w:val="none" w:sz="0" w:space="0" w:color="auto"/>
                          </w:divBdr>
                        </w:div>
                        <w:div w:id="1288898608">
                          <w:marLeft w:val="0"/>
                          <w:marRight w:val="0"/>
                          <w:marTop w:val="0"/>
                          <w:marBottom w:val="0"/>
                          <w:divBdr>
                            <w:top w:val="none" w:sz="0" w:space="0" w:color="auto"/>
                            <w:left w:val="none" w:sz="0" w:space="0" w:color="auto"/>
                            <w:bottom w:val="none" w:sz="0" w:space="0" w:color="auto"/>
                            <w:right w:val="none" w:sz="0" w:space="0" w:color="auto"/>
                          </w:divBdr>
                          <w:divsChild>
                            <w:div w:id="459953727">
                              <w:marLeft w:val="0"/>
                              <w:marRight w:val="0"/>
                              <w:marTop w:val="0"/>
                              <w:marBottom w:val="0"/>
                              <w:divBdr>
                                <w:top w:val="none" w:sz="0" w:space="0" w:color="auto"/>
                                <w:left w:val="none" w:sz="0" w:space="0" w:color="auto"/>
                                <w:bottom w:val="none" w:sz="0" w:space="0" w:color="auto"/>
                                <w:right w:val="none" w:sz="0" w:space="0" w:color="auto"/>
                              </w:divBdr>
                            </w:div>
                            <w:div w:id="12355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ras.org.uk/about_rheumatoid_arthritis/what_is_ra/what_is_ra.aspx" TargetMode="External"/><Relationship Id="rId3" Type="http://schemas.openxmlformats.org/officeDocument/2006/relationships/settings" Target="settings.xml"/><Relationship Id="rId7" Type="http://schemas.openxmlformats.org/officeDocument/2006/relationships/hyperlink" Target="http://www.ucb.presscentre.com/ImageLibrary/detail.aspx?MediaDetailsID=768" TargetMode="External"/><Relationship Id="rId12" Type="http://schemas.openxmlformats.org/officeDocument/2006/relationships/hyperlink" Target="http://www.ucb.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cb.presscentre.com/ImageLibrary/detail.aspx?MediaDetailsID=954" TargetMode="External"/><Relationship Id="rId11" Type="http://schemas.openxmlformats.org/officeDocument/2006/relationships/hyperlink" Target="http://www.ema.europa.eu/docs/en_GB/document_library/EPAR_-_Product_Information/human/001037/WC500069763.pdf" TargetMode="External"/><Relationship Id="rId5" Type="http://schemas.openxmlformats.org/officeDocument/2006/relationships/hyperlink" Target="http://www.ucb.presscentre.com/ImageLibrary/detail.aspx?MediaDetailsID=952%20" TargetMode="External"/><Relationship Id="rId15" Type="http://schemas.openxmlformats.org/officeDocument/2006/relationships/fontTable" Target="fontTable.xml"/><Relationship Id="rId10" Type="http://schemas.openxmlformats.org/officeDocument/2006/relationships/hyperlink" Target="mailto:Michael.tuck-sherman@ucb.com" TargetMode="External"/><Relationship Id="rId4" Type="http://schemas.openxmlformats.org/officeDocument/2006/relationships/webSettings" Target="webSettings.xml"/><Relationship Id="rId9" Type="http://schemas.openxmlformats.org/officeDocument/2006/relationships/hyperlink" Target="mailto:antje.witte@ucb.com" TargetMode="External"/><Relationship Id="rId14" Type="http://schemas.openxmlformats.org/officeDocument/2006/relationships/hyperlink" Target="mailto:UCB.MediaRoom@uc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UCB Pharma</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Horup Annette</dc:creator>
  <cp:keywords/>
  <dc:description/>
  <cp:lastModifiedBy>Horup Annette</cp:lastModifiedBy>
  <cp:revision>1</cp:revision>
  <dcterms:created xsi:type="dcterms:W3CDTF">2011-05-25T08:19:00Z</dcterms:created>
  <dcterms:modified xsi:type="dcterms:W3CDTF">2011-05-25T08:19:00Z</dcterms:modified>
</cp:coreProperties>
</file>